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C4AA8" w14:textId="1075033D" w:rsidR="00946AE9" w:rsidRPr="0071035F" w:rsidRDefault="00C83D0B" w:rsidP="00E326D8">
      <w:pPr>
        <w:pStyle w:val="Naslov1"/>
        <w:numPr>
          <w:ilvl w:val="0"/>
          <w:numId w:val="0"/>
        </w:numPr>
        <w:ind w:left="432"/>
        <w:rPr>
          <w:sz w:val="40"/>
          <w:szCs w:val="40"/>
        </w:rPr>
        <w:sectPr w:rsidR="00946AE9" w:rsidRPr="0071035F" w:rsidSect="00120E2B">
          <w:headerReference w:type="default" r:id="rId11"/>
          <w:footerReference w:type="default" r:id="rId12"/>
          <w:pgSz w:w="11900" w:h="16840"/>
          <w:pgMar w:top="1418" w:right="1134" w:bottom="1418" w:left="1134" w:header="709" w:footer="709" w:gutter="0"/>
          <w:cols w:space="708"/>
          <w:docGrid w:linePitch="360"/>
        </w:sectPr>
      </w:pPr>
      <w:bookmarkStart w:id="0" w:name="_Toc35595972"/>
      <w:bookmarkStart w:id="1" w:name="_GoBack"/>
      <w:bookmarkEnd w:id="1"/>
      <w:r w:rsidRPr="0071035F">
        <w:rPr>
          <w:sz w:val="40"/>
          <w:szCs w:val="40"/>
        </w:rPr>
        <w:t>Prilog I</w:t>
      </w:r>
      <w:r w:rsidR="002E48A7" w:rsidRPr="0071035F">
        <w:rPr>
          <w:sz w:val="40"/>
          <w:szCs w:val="40"/>
        </w:rPr>
        <w:t>I</w:t>
      </w:r>
      <w:r w:rsidRPr="0071035F">
        <w:rPr>
          <w:sz w:val="40"/>
          <w:szCs w:val="40"/>
        </w:rPr>
        <w:t xml:space="preserve"> Inventari emisija CO</w:t>
      </w:r>
      <w:r w:rsidRPr="0071035F">
        <w:rPr>
          <w:sz w:val="40"/>
          <w:szCs w:val="40"/>
          <w:vertAlign w:val="subscript"/>
        </w:rPr>
        <w:t>2</w:t>
      </w:r>
      <w:bookmarkEnd w:id="0"/>
      <w:r w:rsidR="00A17D8B" w:rsidRPr="0071035F">
        <w:rPr>
          <w:sz w:val="40"/>
          <w:szCs w:val="40"/>
          <w:vertAlign w:val="subscript"/>
        </w:rPr>
        <w:t xml:space="preserve"> </w:t>
      </w:r>
      <w:r w:rsidR="00A17D8B" w:rsidRPr="0071035F">
        <w:rPr>
          <w:sz w:val="40"/>
          <w:szCs w:val="40"/>
        </w:rPr>
        <w:t>Grada Zadra</w:t>
      </w:r>
    </w:p>
    <w:p w14:paraId="37962727" w14:textId="00D1A6FB" w:rsidR="00C83D0B" w:rsidRPr="00946AE9" w:rsidRDefault="00384142" w:rsidP="00E326D8">
      <w:pPr>
        <w:pStyle w:val="Naslov1"/>
      </w:pPr>
      <w:bookmarkStart w:id="2" w:name="_Toc35595973"/>
      <w:r>
        <w:lastRenderedPageBreak/>
        <w:t>Bazni</w:t>
      </w:r>
      <w:r w:rsidR="00C83D0B" w:rsidRPr="00946AE9">
        <w:t xml:space="preserve"> inventar emisija (BEI)</w:t>
      </w:r>
      <w:bookmarkEnd w:id="2"/>
    </w:p>
    <w:p w14:paraId="1668D0A6" w14:textId="77777777" w:rsidR="00C83D0B" w:rsidRPr="007F69AB" w:rsidRDefault="00C83D0B" w:rsidP="00C83D0B"/>
    <w:p w14:paraId="4E191CBD" w14:textId="4BA54134" w:rsidR="00C83D0B" w:rsidRPr="00946AE9" w:rsidRDefault="00384142" w:rsidP="00C83D0B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Bazni</w:t>
      </w:r>
      <w:r w:rsidR="00C83D0B" w:rsidRPr="00946AE9">
        <w:rPr>
          <w:rFonts w:ascii="Calibri" w:eastAsia="Calibri" w:hAnsi="Calibri" w:cs="Calibri"/>
          <w:szCs w:val="22"/>
        </w:rPr>
        <w:t xml:space="preserve"> inventar emisija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za administrativno područje G</w:t>
      </w:r>
      <w:r w:rsidR="00C83D0B" w:rsidRPr="00946AE9">
        <w:rPr>
          <w:rFonts w:ascii="Calibri" w:eastAsia="Calibri" w:hAnsi="Calibri" w:cs="Calibri"/>
          <w:szCs w:val="22"/>
        </w:rPr>
        <w:t xml:space="preserve">rada </w:t>
      </w:r>
      <w:r w:rsidR="00D63F1F">
        <w:rPr>
          <w:rFonts w:ascii="Calibri" w:eastAsia="Calibri" w:hAnsi="Calibri" w:cs="Calibri"/>
          <w:szCs w:val="22"/>
        </w:rPr>
        <w:t>Zadra</w:t>
      </w:r>
      <w:r w:rsidR="00C83D0B" w:rsidRPr="00946AE9">
        <w:rPr>
          <w:rFonts w:ascii="Calibri" w:eastAsia="Calibri" w:hAnsi="Calibri" w:cs="Calibri"/>
          <w:szCs w:val="22"/>
        </w:rPr>
        <w:t xml:space="preserve"> izrađen je u sklopu SEAP-a, a kao </w:t>
      </w:r>
      <w:r>
        <w:rPr>
          <w:rFonts w:ascii="Calibri" w:eastAsia="Calibri" w:hAnsi="Calibri" w:cs="Calibri"/>
          <w:szCs w:val="22"/>
        </w:rPr>
        <w:t xml:space="preserve">bazna </w:t>
      </w:r>
      <w:r w:rsidR="00D63F1F">
        <w:rPr>
          <w:rFonts w:ascii="Calibri" w:eastAsia="Calibri" w:hAnsi="Calibri" w:cs="Calibri"/>
          <w:szCs w:val="22"/>
        </w:rPr>
        <w:t>godina odabrana je 2010</w:t>
      </w:r>
      <w:r w:rsidR="00C83D0B" w:rsidRPr="00946AE9">
        <w:rPr>
          <w:rFonts w:ascii="Calibri" w:eastAsia="Calibri" w:hAnsi="Calibri" w:cs="Calibri"/>
          <w:szCs w:val="22"/>
        </w:rPr>
        <w:t>.</w:t>
      </w:r>
      <w:r w:rsidR="00C60E50">
        <w:rPr>
          <w:rFonts w:ascii="Calibri" w:eastAsia="Calibri" w:hAnsi="Calibri" w:cs="Calibri"/>
          <w:szCs w:val="22"/>
        </w:rPr>
        <w:t>.</w:t>
      </w:r>
      <w:r w:rsidR="00C83D0B" w:rsidRPr="00946AE9">
        <w:rPr>
          <w:rFonts w:ascii="Calibri" w:eastAsia="Calibri" w:hAnsi="Calibri" w:cs="Calibri"/>
          <w:szCs w:val="22"/>
        </w:rPr>
        <w:t xml:space="preserve"> Glavni kriterij prilikom odabira </w:t>
      </w:r>
      <w:r>
        <w:rPr>
          <w:rFonts w:ascii="Calibri" w:eastAsia="Calibri" w:hAnsi="Calibri" w:cs="Calibri"/>
          <w:szCs w:val="22"/>
        </w:rPr>
        <w:t>bazne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 xml:space="preserve">godine bila je raspoloživost </w:t>
      </w:r>
      <w:r w:rsidR="00946AE9">
        <w:rPr>
          <w:rFonts w:ascii="Calibri" w:eastAsia="Calibri" w:hAnsi="Calibri" w:cs="Calibri"/>
          <w:szCs w:val="22"/>
        </w:rPr>
        <w:t xml:space="preserve">i pouzdanost </w:t>
      </w:r>
      <w:r w:rsidR="00C83D0B" w:rsidRPr="00946AE9">
        <w:rPr>
          <w:rFonts w:ascii="Calibri" w:eastAsia="Calibri" w:hAnsi="Calibri" w:cs="Calibri"/>
          <w:szCs w:val="22"/>
        </w:rPr>
        <w:t>podataka o potrošnji energije potrebnih za proračun emisija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>. Nepouzdani podaci o energetskim potrošnjama i nužnost procjene emisija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unijeli bi veliku nesigurnost u </w:t>
      </w:r>
      <w:r w:rsidR="00C60E50">
        <w:rPr>
          <w:rFonts w:ascii="Calibri" w:eastAsia="Calibri" w:hAnsi="Calibri" w:cs="Calibri"/>
          <w:szCs w:val="22"/>
        </w:rPr>
        <w:t>B</w:t>
      </w:r>
      <w:r>
        <w:rPr>
          <w:rFonts w:ascii="Calibri" w:eastAsia="Calibri" w:hAnsi="Calibri" w:cs="Calibri"/>
          <w:szCs w:val="22"/>
        </w:rPr>
        <w:t>azni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inventar emisija</w:t>
      </w:r>
      <w:r w:rsidR="009A0097">
        <w:rPr>
          <w:rFonts w:ascii="Calibri" w:eastAsia="Calibri" w:hAnsi="Calibri" w:cs="Calibri"/>
          <w:szCs w:val="22"/>
        </w:rPr>
        <w:t>,</w:t>
      </w:r>
      <w:r w:rsidR="00C83D0B" w:rsidRPr="00946AE9">
        <w:rPr>
          <w:rFonts w:ascii="Calibri" w:eastAsia="Calibri" w:hAnsi="Calibri" w:cs="Calibri"/>
          <w:szCs w:val="22"/>
        </w:rPr>
        <w:t xml:space="preserve"> što nije u skladu s principima metodologije propisane od strane Europske komisije. Inventar je obuhvatio tri sektora finalne potrošnje energije: zgradarstvo, promet i javnu rasvjetu, a u skladu s klasifikacijom sektora prema preporukama Europske komisije. Proračunom su obuhvaćene izravne emisije (iz izgaranja goriva) i neizravne emisije (iz potrošnje električne energije) koje su posljedica ljudskih djelatnosti.</w:t>
      </w:r>
    </w:p>
    <w:p w14:paraId="34704D7C" w14:textId="4425B717" w:rsidR="00C83D0B" w:rsidRPr="00946AE9" w:rsidRDefault="00384142" w:rsidP="00C83D0B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Bazni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inventar emisija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G</w:t>
      </w:r>
      <w:r w:rsidR="00C83D0B" w:rsidRPr="00946AE9">
        <w:rPr>
          <w:rFonts w:ascii="Calibri" w:eastAsia="Calibri" w:hAnsi="Calibri" w:cs="Calibri"/>
          <w:szCs w:val="22"/>
        </w:rPr>
        <w:t xml:space="preserve">rada </w:t>
      </w:r>
      <w:r w:rsidR="00D63F1F">
        <w:rPr>
          <w:rFonts w:ascii="Calibri" w:eastAsia="Calibri" w:hAnsi="Calibri" w:cs="Calibri"/>
          <w:szCs w:val="22"/>
        </w:rPr>
        <w:t>Zadra</w:t>
      </w:r>
      <w:r w:rsidR="00C83D0B" w:rsidRPr="00946AE9">
        <w:rPr>
          <w:rFonts w:ascii="Calibri" w:eastAsia="Calibri" w:hAnsi="Calibri" w:cs="Calibri"/>
          <w:szCs w:val="22"/>
        </w:rPr>
        <w:t xml:space="preserve"> izrađen je prema protokolu Međuvladinog tijela za klimatske promjene (Intergovernmental Panel on Climate Change – IPCC) kao izvršnog tijela Programa</w:t>
      </w:r>
      <w:r w:rsidR="009A0097">
        <w:rPr>
          <w:rFonts w:ascii="Calibri" w:eastAsia="Calibri" w:hAnsi="Calibri" w:cs="Calibri"/>
          <w:szCs w:val="22"/>
        </w:rPr>
        <w:t xml:space="preserve"> </w:t>
      </w:r>
      <w:r w:rsidR="009A0097" w:rsidRPr="00946AE9">
        <w:rPr>
          <w:rFonts w:ascii="Calibri" w:eastAsia="Calibri" w:hAnsi="Calibri" w:cs="Calibri"/>
          <w:szCs w:val="22"/>
        </w:rPr>
        <w:t>Ujedinjenih naroda</w:t>
      </w:r>
      <w:r w:rsidR="009A0097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 xml:space="preserve">za okoliš (UNEP) i Svjetske meteorološke organizacije (WMO) u provođenju Okvirne konvencije Ujedinjenih naroda o promjeni klime (United Nation Framework Convention on Climate Change – UNFCCC). Hrvatska se ratificiranjem protokola iz Kyota 2007. godine obvezala na praćenje i izvještavanje o emisijama onečišćujućih tvari u atmosferu prema IPCC protokolu pa je on kao nacionalno priznat protokol korišten i za izradu </w:t>
      </w:r>
      <w:r>
        <w:rPr>
          <w:rFonts w:ascii="Calibri" w:eastAsia="Calibri" w:hAnsi="Calibri" w:cs="Calibri"/>
          <w:szCs w:val="22"/>
        </w:rPr>
        <w:t>Baznog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inventara emisija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za </w:t>
      </w:r>
      <w:r>
        <w:rPr>
          <w:rFonts w:ascii="Calibri" w:eastAsia="Calibri" w:hAnsi="Calibri" w:cs="Calibri"/>
          <w:szCs w:val="22"/>
        </w:rPr>
        <w:t>administrativno područje G</w:t>
      </w:r>
      <w:r w:rsidR="00C83D0B" w:rsidRPr="00946AE9">
        <w:rPr>
          <w:rFonts w:ascii="Calibri" w:eastAsia="Calibri" w:hAnsi="Calibri" w:cs="Calibri"/>
          <w:szCs w:val="22"/>
        </w:rPr>
        <w:t>rad</w:t>
      </w:r>
      <w:r>
        <w:rPr>
          <w:rFonts w:ascii="Calibri" w:eastAsia="Calibri" w:hAnsi="Calibri" w:cs="Calibri"/>
          <w:szCs w:val="22"/>
        </w:rPr>
        <w:t>a</w:t>
      </w:r>
      <w:r w:rsidR="00C83D0B" w:rsidRPr="00946AE9">
        <w:rPr>
          <w:rFonts w:ascii="Calibri" w:eastAsia="Calibri" w:hAnsi="Calibri" w:cs="Calibri"/>
          <w:szCs w:val="22"/>
        </w:rPr>
        <w:t xml:space="preserve"> </w:t>
      </w:r>
      <w:r w:rsidR="00D63F1F">
        <w:rPr>
          <w:rFonts w:ascii="Calibri" w:eastAsia="Calibri" w:hAnsi="Calibri" w:cs="Calibri"/>
          <w:szCs w:val="22"/>
        </w:rPr>
        <w:t>Zadr</w:t>
      </w:r>
      <w:r>
        <w:rPr>
          <w:rFonts w:ascii="Calibri" w:eastAsia="Calibri" w:hAnsi="Calibri" w:cs="Calibri"/>
          <w:szCs w:val="22"/>
        </w:rPr>
        <w:t>a</w:t>
      </w:r>
      <w:r w:rsidR="00C83D0B" w:rsidRPr="00946AE9">
        <w:rPr>
          <w:rFonts w:ascii="Calibri" w:eastAsia="Calibri" w:hAnsi="Calibri" w:cs="Calibri"/>
          <w:szCs w:val="22"/>
        </w:rPr>
        <w:t>. Kako za proračun neizravnih emisija od strane IPCC-a nije predložena metodologija, ona je razvijena u sklopu izrade ovog Inventara.</w:t>
      </w:r>
    </w:p>
    <w:p w14:paraId="53596B2F" w14:textId="77777777" w:rsidR="00C83D0B" w:rsidRPr="00F744E5" w:rsidRDefault="00C83D0B" w:rsidP="00C83D0B">
      <w:pPr>
        <w:rPr>
          <w:rFonts w:ascii="Calibri" w:eastAsia="Calibri" w:hAnsi="Calibri" w:cs="Calibri"/>
          <w:highlight w:val="yellow"/>
        </w:rPr>
      </w:pPr>
    </w:p>
    <w:p w14:paraId="2871BB73" w14:textId="588BFB5B" w:rsidR="00C83D0B" w:rsidRPr="007F69AB" w:rsidRDefault="00384142" w:rsidP="00E326D8">
      <w:pPr>
        <w:pStyle w:val="Naslov2"/>
      </w:pPr>
      <w:r>
        <w:t xml:space="preserve">Bazni </w:t>
      </w:r>
      <w:r w:rsidR="00C83D0B">
        <w:t>inventar emisija CO</w:t>
      </w:r>
      <w:r w:rsidR="00C83D0B">
        <w:rPr>
          <w:vertAlign w:val="subscript"/>
        </w:rPr>
        <w:t>2</w:t>
      </w:r>
      <w:r w:rsidR="00C83D0B">
        <w:t xml:space="preserve"> iz sektora zgradarstva Grada </w:t>
      </w:r>
      <w:r w:rsidR="00D63F1F">
        <w:t>Zadra</w:t>
      </w:r>
    </w:p>
    <w:p w14:paraId="2E30E84B" w14:textId="509D81F0" w:rsidR="00C83D0B" w:rsidRDefault="00C83D0B" w:rsidP="00C83D0B"/>
    <w:p w14:paraId="26871143" w14:textId="77777777" w:rsidR="00535DE0" w:rsidRDefault="001F2608" w:rsidP="001F2608">
      <w:r w:rsidRPr="001F2608">
        <w:t xml:space="preserve">U </w:t>
      </w:r>
      <w:r w:rsidR="001A21A2">
        <w:t>T</w:t>
      </w:r>
      <w:r w:rsidRPr="001F2608">
        <w:t xml:space="preserve">ablici 1 dan je sažeti prikaz parametara potrošnje energije u sektoru zgradarstva na temelju kojih je izračunat </w:t>
      </w:r>
      <w:r w:rsidR="00384142">
        <w:t xml:space="preserve">Bazni </w:t>
      </w:r>
      <w:r>
        <w:t>inventar emisija za 20</w:t>
      </w:r>
      <w:r w:rsidR="00384142">
        <w:t>10</w:t>
      </w:r>
      <w:r w:rsidR="00535DE0">
        <w:t>. godinu.</w:t>
      </w:r>
    </w:p>
    <w:p w14:paraId="46C1DF72" w14:textId="4FCBDE83" w:rsidR="00CC14DF" w:rsidRPr="00535DE0" w:rsidRDefault="00535DE0" w:rsidP="00535DE0">
      <w:pPr>
        <w:pStyle w:val="Opisslike"/>
        <w:rPr>
          <w:sz w:val="22"/>
        </w:rPr>
      </w:pPr>
      <w:r w:rsidRPr="00535DE0">
        <w:t xml:space="preserve">Tablica </w:t>
      </w:r>
      <w:r w:rsidR="00F03229">
        <w:rPr>
          <w:noProof/>
        </w:rPr>
        <w:fldChar w:fldCharType="begin"/>
      </w:r>
      <w:r w:rsidR="00F03229">
        <w:rPr>
          <w:noProof/>
        </w:rPr>
        <w:instrText xml:space="preserve"> SEQ Tablica \* ARABIC </w:instrText>
      </w:r>
      <w:r w:rsidR="00F03229">
        <w:rPr>
          <w:noProof/>
        </w:rPr>
        <w:fldChar w:fldCharType="separate"/>
      </w:r>
      <w:r w:rsidRPr="00535DE0">
        <w:rPr>
          <w:noProof/>
        </w:rPr>
        <w:t>1</w:t>
      </w:r>
      <w:r w:rsidR="00F03229">
        <w:rPr>
          <w:noProof/>
        </w:rPr>
        <w:fldChar w:fldCharType="end"/>
      </w:r>
      <w:r w:rsidR="001F2608" w:rsidRPr="00535DE0">
        <w:t>: Potrošnja energije sektora zgradarstva Grada Zadra u 20</w:t>
      </w:r>
      <w:r w:rsidR="00384142" w:rsidRPr="00535DE0">
        <w:t>10</w:t>
      </w:r>
      <w:r w:rsidR="001F2608" w:rsidRPr="00535DE0">
        <w:t>. godini</w:t>
      </w:r>
    </w:p>
    <w:tbl>
      <w:tblPr>
        <w:tblStyle w:val="GridTable4-Accent21"/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2278"/>
        <w:gridCol w:w="1379"/>
        <w:gridCol w:w="1936"/>
        <w:gridCol w:w="1685"/>
        <w:gridCol w:w="1225"/>
        <w:gridCol w:w="1385"/>
      </w:tblGrid>
      <w:tr w:rsidR="001F2608" w:rsidRPr="00F56CC3" w14:paraId="33C6425F" w14:textId="77777777" w:rsidTr="00917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 w:val="restart"/>
          </w:tcPr>
          <w:p w14:paraId="133CF7F4" w14:textId="77777777" w:rsidR="001F2608" w:rsidRPr="005E4906" w:rsidRDefault="001F2608" w:rsidP="00917EF0">
            <w:pPr>
              <w:jc w:val="center"/>
              <w:rPr>
                <w:color w:val="FFFFFF" w:themeColor="background1"/>
                <w:sz w:val="20"/>
                <w:lang w:val="hr-HR"/>
              </w:rPr>
            </w:pPr>
            <w:r w:rsidRPr="005E4906">
              <w:rPr>
                <w:color w:val="FFFFFF" w:themeColor="background1"/>
                <w:sz w:val="20"/>
                <w:lang w:val="hr-HR"/>
              </w:rPr>
              <w:t>Kategorija</w:t>
            </w:r>
          </w:p>
        </w:tc>
        <w:tc>
          <w:tcPr>
            <w:tcW w:w="7610" w:type="dxa"/>
            <w:gridSpan w:val="5"/>
          </w:tcPr>
          <w:p w14:paraId="25010915" w14:textId="77777777" w:rsidR="001F2608" w:rsidRPr="005E4906" w:rsidRDefault="001F2608" w:rsidP="00917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lang w:val="hr-HR"/>
              </w:rPr>
            </w:pPr>
            <w:r w:rsidRPr="005E4906">
              <w:rPr>
                <w:color w:val="FFFFFF" w:themeColor="background1"/>
                <w:sz w:val="20"/>
                <w:lang w:val="hr-HR"/>
              </w:rPr>
              <w:t>Potrošnja energije (MWh)</w:t>
            </w:r>
          </w:p>
        </w:tc>
      </w:tr>
      <w:tr w:rsidR="00D0051F" w:rsidRPr="00F56CC3" w14:paraId="3DE63792" w14:textId="77777777" w:rsidTr="0091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</w:tcPr>
          <w:p w14:paraId="57ED04E3" w14:textId="77777777" w:rsidR="00D0051F" w:rsidRPr="00F56CC3" w:rsidRDefault="00D0051F" w:rsidP="00917EF0">
            <w:pPr>
              <w:jc w:val="center"/>
              <w:rPr>
                <w:b w:val="0"/>
                <w:sz w:val="20"/>
                <w:lang w:val="hr-HR"/>
              </w:rPr>
            </w:pPr>
          </w:p>
        </w:tc>
        <w:tc>
          <w:tcPr>
            <w:tcW w:w="1379" w:type="dxa"/>
          </w:tcPr>
          <w:p w14:paraId="3AE15228" w14:textId="77777777" w:rsidR="00D0051F" w:rsidRPr="00F56CC3" w:rsidRDefault="00D0051F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b/>
                <w:sz w:val="20"/>
                <w:lang w:val="hr-HR"/>
              </w:rPr>
              <w:t>Električna energija</w:t>
            </w:r>
          </w:p>
        </w:tc>
        <w:tc>
          <w:tcPr>
            <w:tcW w:w="1936" w:type="dxa"/>
          </w:tcPr>
          <w:p w14:paraId="7C9226CA" w14:textId="77777777" w:rsidR="00D0051F" w:rsidRPr="00F56CC3" w:rsidRDefault="00D0051F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b/>
                <w:sz w:val="20"/>
                <w:lang w:val="hr-HR"/>
              </w:rPr>
              <w:t>Ekstra lako loživo ulje</w:t>
            </w:r>
          </w:p>
        </w:tc>
        <w:tc>
          <w:tcPr>
            <w:tcW w:w="1685" w:type="dxa"/>
          </w:tcPr>
          <w:p w14:paraId="0DE71397" w14:textId="77777777" w:rsidR="00D0051F" w:rsidRPr="00F56CC3" w:rsidRDefault="00D0051F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b/>
                <w:sz w:val="20"/>
                <w:lang w:val="hr-HR"/>
              </w:rPr>
              <w:t>Ogrjevno drvo</w:t>
            </w:r>
          </w:p>
        </w:tc>
        <w:tc>
          <w:tcPr>
            <w:tcW w:w="1225" w:type="dxa"/>
          </w:tcPr>
          <w:p w14:paraId="74E7333C" w14:textId="77777777" w:rsidR="00D0051F" w:rsidRPr="00F56CC3" w:rsidRDefault="00D0051F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b/>
                <w:sz w:val="20"/>
                <w:lang w:val="hr-HR"/>
              </w:rPr>
              <w:t>Ukapljeni naftni plin</w:t>
            </w:r>
          </w:p>
        </w:tc>
        <w:tc>
          <w:tcPr>
            <w:tcW w:w="1385" w:type="dxa"/>
          </w:tcPr>
          <w:p w14:paraId="64A58B84" w14:textId="77777777" w:rsidR="00D0051F" w:rsidRPr="00F56CC3" w:rsidRDefault="00D0051F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b/>
                <w:sz w:val="20"/>
                <w:lang w:val="hr-HR"/>
              </w:rPr>
              <w:t>UKUPNO po sektorima</w:t>
            </w:r>
          </w:p>
        </w:tc>
      </w:tr>
      <w:tr w:rsidR="00F56CC3" w:rsidRPr="00F56CC3" w14:paraId="42371A36" w14:textId="77777777" w:rsidTr="00917EF0">
        <w:trPr>
          <w:trHeight w:hRule="exact" w:val="8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43EEB61A" w14:textId="04807C87" w:rsidR="00F56CC3" w:rsidRPr="00F56CC3" w:rsidRDefault="00F56CC3" w:rsidP="00917EF0">
            <w:pPr>
              <w:jc w:val="center"/>
              <w:rPr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Zgrade Gradske uprave i Gradskih ustanova/poduzeća</w:t>
            </w:r>
          </w:p>
        </w:tc>
        <w:tc>
          <w:tcPr>
            <w:tcW w:w="1379" w:type="dxa"/>
          </w:tcPr>
          <w:p w14:paraId="37CCEA06" w14:textId="4A444330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14.651</w:t>
            </w:r>
          </w:p>
        </w:tc>
        <w:tc>
          <w:tcPr>
            <w:tcW w:w="1936" w:type="dxa"/>
          </w:tcPr>
          <w:p w14:paraId="79E6D87E" w14:textId="4315AB56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96317B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929</w:t>
            </w:r>
          </w:p>
        </w:tc>
        <w:tc>
          <w:tcPr>
            <w:tcW w:w="1685" w:type="dxa"/>
          </w:tcPr>
          <w:p w14:paraId="280C5B07" w14:textId="23D6999F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190</w:t>
            </w:r>
          </w:p>
        </w:tc>
        <w:tc>
          <w:tcPr>
            <w:tcW w:w="1225" w:type="dxa"/>
          </w:tcPr>
          <w:p w14:paraId="7D0CDBC1" w14:textId="7AD02EE4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185</w:t>
            </w:r>
          </w:p>
        </w:tc>
        <w:tc>
          <w:tcPr>
            <w:tcW w:w="1385" w:type="dxa"/>
          </w:tcPr>
          <w:p w14:paraId="71576E80" w14:textId="2EC98859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21.955</w:t>
            </w:r>
          </w:p>
        </w:tc>
      </w:tr>
      <w:tr w:rsidR="00F56CC3" w:rsidRPr="00F56CC3" w14:paraId="2EB7A0B9" w14:textId="77777777" w:rsidTr="0091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05763A5D" w14:textId="15E289B4" w:rsidR="00F56CC3" w:rsidRPr="00F56CC3" w:rsidRDefault="00F56CC3" w:rsidP="00917EF0">
            <w:pPr>
              <w:jc w:val="center"/>
              <w:rPr>
                <w:sz w:val="20"/>
              </w:rPr>
            </w:pPr>
            <w:r w:rsidRPr="00F56CC3">
              <w:rPr>
                <w:sz w:val="20"/>
                <w:lang w:val="hr-HR"/>
              </w:rPr>
              <w:t>Stambeni objekti  (kućanstva)</w:t>
            </w:r>
          </w:p>
        </w:tc>
        <w:tc>
          <w:tcPr>
            <w:tcW w:w="1379" w:type="dxa"/>
          </w:tcPr>
          <w:p w14:paraId="23A9B650" w14:textId="36019EC1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175.102</w:t>
            </w:r>
          </w:p>
        </w:tc>
        <w:tc>
          <w:tcPr>
            <w:tcW w:w="1936" w:type="dxa"/>
          </w:tcPr>
          <w:p w14:paraId="40C3DB34" w14:textId="77342249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9.212</w:t>
            </w:r>
          </w:p>
        </w:tc>
        <w:tc>
          <w:tcPr>
            <w:tcW w:w="1685" w:type="dxa"/>
          </w:tcPr>
          <w:p w14:paraId="34BD1FF3" w14:textId="261431FF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62.507</w:t>
            </w:r>
          </w:p>
        </w:tc>
        <w:tc>
          <w:tcPr>
            <w:tcW w:w="1225" w:type="dxa"/>
          </w:tcPr>
          <w:p w14:paraId="567F80BF" w14:textId="6FCED7A1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F56CC3">
              <w:rPr>
                <w:sz w:val="20"/>
                <w:lang w:val="hr-HR"/>
              </w:rPr>
              <w:t>3.948</w:t>
            </w:r>
          </w:p>
        </w:tc>
        <w:tc>
          <w:tcPr>
            <w:tcW w:w="1385" w:type="dxa"/>
          </w:tcPr>
          <w:p w14:paraId="747B068F" w14:textId="7686366A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250.769</w:t>
            </w:r>
          </w:p>
        </w:tc>
      </w:tr>
      <w:tr w:rsidR="00F56CC3" w:rsidRPr="00F56CC3" w14:paraId="4421EB3B" w14:textId="77777777" w:rsidTr="00917EF0">
        <w:trPr>
          <w:trHeight w:hRule="exact" w:val="1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7605BE2B" w14:textId="7B7FF27A" w:rsidR="00F56CC3" w:rsidRPr="00F56CC3" w:rsidRDefault="00F56CC3" w:rsidP="00917EF0">
            <w:pPr>
              <w:jc w:val="center"/>
              <w:rPr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Zgrade komercijalnog i uslužnog sektora</w:t>
            </w:r>
          </w:p>
        </w:tc>
        <w:tc>
          <w:tcPr>
            <w:tcW w:w="1379" w:type="dxa"/>
          </w:tcPr>
          <w:p w14:paraId="555D6E3B" w14:textId="330DA2A0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76.937</w:t>
            </w:r>
          </w:p>
        </w:tc>
        <w:tc>
          <w:tcPr>
            <w:tcW w:w="1936" w:type="dxa"/>
          </w:tcPr>
          <w:p w14:paraId="75A4BACE" w14:textId="2D24947D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138.849</w:t>
            </w:r>
          </w:p>
        </w:tc>
        <w:tc>
          <w:tcPr>
            <w:tcW w:w="1685" w:type="dxa"/>
          </w:tcPr>
          <w:p w14:paraId="4B9F67AC" w14:textId="0E0E71FD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/</w:t>
            </w:r>
          </w:p>
        </w:tc>
        <w:tc>
          <w:tcPr>
            <w:tcW w:w="1225" w:type="dxa"/>
          </w:tcPr>
          <w:p w14:paraId="3D590E9F" w14:textId="002C9602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/</w:t>
            </w:r>
          </w:p>
        </w:tc>
        <w:tc>
          <w:tcPr>
            <w:tcW w:w="1385" w:type="dxa"/>
          </w:tcPr>
          <w:p w14:paraId="1C92BB23" w14:textId="1BF0AF40" w:rsidR="00F56CC3" w:rsidRPr="00F56CC3" w:rsidRDefault="00F56CC3" w:rsidP="00917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215.786</w:t>
            </w:r>
          </w:p>
        </w:tc>
      </w:tr>
      <w:tr w:rsidR="00F56CC3" w:rsidRPr="00F56CC3" w14:paraId="5046694E" w14:textId="77777777" w:rsidTr="0091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644A1524" w14:textId="56EB4CDD" w:rsidR="00F56CC3" w:rsidRPr="00F56CC3" w:rsidRDefault="00F56CC3" w:rsidP="00917EF0">
            <w:pPr>
              <w:jc w:val="center"/>
              <w:rPr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UKUPNO po kategorijama</w:t>
            </w:r>
          </w:p>
        </w:tc>
        <w:tc>
          <w:tcPr>
            <w:tcW w:w="1379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shd w:val="clear" w:color="auto" w:fill="auto"/>
          </w:tcPr>
          <w:p w14:paraId="0919F6B3" w14:textId="694CD71E" w:rsidR="00F56CC3" w:rsidRPr="00F56CC3" w:rsidRDefault="00F56CC3" w:rsidP="00C60E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rFonts w:ascii="Calibri" w:hAnsi="Calibri" w:cs="Calibri"/>
                <w:color w:val="000000"/>
                <w:sz w:val="20"/>
              </w:rPr>
              <w:t>266.69</w:t>
            </w:r>
            <w:r w:rsidR="00C60E50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E70D5" w14:textId="5F0341BE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sz w:val="20"/>
                <w:lang w:val="hr-HR"/>
              </w:rPr>
              <w:t>154.990</w:t>
            </w:r>
            <w:r w:rsidR="00917EF0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B6ABA" w14:textId="0D1EE87E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rFonts w:ascii="Calibri" w:hAnsi="Calibri" w:cs="Calibri"/>
                <w:color w:val="000000"/>
                <w:sz w:val="20"/>
              </w:rPr>
              <w:t>62.697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A4920" w14:textId="265980B0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rFonts w:ascii="Calibri" w:hAnsi="Calibri" w:cs="Calibri"/>
                <w:color w:val="000000"/>
                <w:sz w:val="20"/>
              </w:rPr>
              <w:t>4.133</w:t>
            </w:r>
          </w:p>
        </w:tc>
        <w:tc>
          <w:tcPr>
            <w:tcW w:w="1385" w:type="dxa"/>
          </w:tcPr>
          <w:p w14:paraId="57040526" w14:textId="6E76997D" w:rsidR="00F56CC3" w:rsidRPr="00F56CC3" w:rsidRDefault="00F56CC3" w:rsidP="00917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F56CC3">
              <w:rPr>
                <w:rFonts w:ascii="Calibri" w:eastAsia="Times New Roman" w:hAnsi="Calibri" w:cs="Calibri"/>
                <w:color w:val="000000"/>
                <w:sz w:val="20"/>
              </w:rPr>
              <w:t>488.510</w:t>
            </w:r>
          </w:p>
        </w:tc>
      </w:tr>
    </w:tbl>
    <w:p w14:paraId="458EB6A5" w14:textId="77777777" w:rsidR="001F2608" w:rsidRDefault="001F2608" w:rsidP="00C83D0B"/>
    <w:p w14:paraId="7EA37841" w14:textId="67C65142" w:rsidR="00C83D0B" w:rsidRDefault="00C83D0B" w:rsidP="00C83D0B">
      <w:pPr>
        <w:spacing w:after="0"/>
        <w:rPr>
          <w:szCs w:val="22"/>
        </w:rPr>
      </w:pPr>
      <w:r w:rsidRPr="00946AE9">
        <w:rPr>
          <w:szCs w:val="22"/>
        </w:rPr>
        <w:lastRenderedPageBreak/>
        <w:t>Emisije CO</w:t>
      </w:r>
      <w:r w:rsidRPr="00946AE9">
        <w:rPr>
          <w:szCs w:val="22"/>
          <w:vertAlign w:val="subscript"/>
        </w:rPr>
        <w:t>2</w:t>
      </w:r>
      <w:r w:rsidRPr="00946AE9">
        <w:rPr>
          <w:szCs w:val="22"/>
        </w:rPr>
        <w:t xml:space="preserve"> iz sektora </w:t>
      </w:r>
      <w:r w:rsidR="00946AE9" w:rsidRPr="00946AE9">
        <w:rPr>
          <w:szCs w:val="22"/>
        </w:rPr>
        <w:t>zgradarstv</w:t>
      </w:r>
      <w:r w:rsidR="00E10996">
        <w:rPr>
          <w:szCs w:val="22"/>
        </w:rPr>
        <w:t>a</w:t>
      </w:r>
      <w:r w:rsidRPr="00946AE9">
        <w:rPr>
          <w:szCs w:val="22"/>
        </w:rPr>
        <w:t xml:space="preserve"> Grada </w:t>
      </w:r>
      <w:r w:rsidR="00D63F1F">
        <w:rPr>
          <w:szCs w:val="22"/>
        </w:rPr>
        <w:t>Zadra</w:t>
      </w:r>
      <w:r w:rsidRPr="00946AE9">
        <w:rPr>
          <w:szCs w:val="22"/>
        </w:rPr>
        <w:t xml:space="preserve"> obuhvaćaju em</w:t>
      </w:r>
      <w:r w:rsidR="00065EE8">
        <w:rPr>
          <w:szCs w:val="22"/>
        </w:rPr>
        <w:t xml:space="preserve">isije iz potrošnje električne energije, </w:t>
      </w:r>
      <w:r w:rsidRPr="00946AE9">
        <w:rPr>
          <w:szCs w:val="22"/>
        </w:rPr>
        <w:t>te emisije iz izgaranja goriva. Emisije iz izgaranja goriva proračunavaju se preko standardnih</w:t>
      </w:r>
      <w:r w:rsidR="0097582A">
        <w:rPr>
          <w:szCs w:val="22"/>
        </w:rPr>
        <w:t xml:space="preserve"> </w:t>
      </w:r>
      <w:r w:rsidRPr="00946AE9">
        <w:rPr>
          <w:szCs w:val="22"/>
        </w:rPr>
        <w:t xml:space="preserve">emisijskih faktora (prva razina proračuna IPCC metodologije), dok </w:t>
      </w:r>
      <w:r w:rsidR="0096317B">
        <w:rPr>
          <w:szCs w:val="22"/>
        </w:rPr>
        <w:t>je</w:t>
      </w:r>
      <w:r w:rsidR="0096317B" w:rsidRPr="00946AE9">
        <w:rPr>
          <w:szCs w:val="22"/>
        </w:rPr>
        <w:t xml:space="preserve"> </w:t>
      </w:r>
      <w:r w:rsidRPr="00946AE9">
        <w:rPr>
          <w:szCs w:val="22"/>
        </w:rPr>
        <w:t>za proračun emisija iz potrošnje električne energije određen specifi</w:t>
      </w:r>
      <w:r w:rsidR="00175AA2">
        <w:rPr>
          <w:szCs w:val="22"/>
        </w:rPr>
        <w:t>čni emisijski faktor (</w:t>
      </w:r>
      <w:r w:rsidR="001A21A2">
        <w:rPr>
          <w:szCs w:val="22"/>
        </w:rPr>
        <w:t>T</w:t>
      </w:r>
      <w:r w:rsidR="00175AA2">
        <w:rPr>
          <w:szCs w:val="22"/>
        </w:rPr>
        <w:t>ablica 2</w:t>
      </w:r>
      <w:r w:rsidRPr="00946AE9">
        <w:rPr>
          <w:szCs w:val="22"/>
        </w:rPr>
        <w:t>) prema podacima Zajedničkog istraživačkog centra Europske komisije</w:t>
      </w:r>
      <w:r w:rsidRPr="00946AE9">
        <w:rPr>
          <w:rStyle w:val="Referencafusnote"/>
          <w:szCs w:val="22"/>
        </w:rPr>
        <w:footnoteReference w:id="1"/>
      </w:r>
      <w:r w:rsidRPr="00946AE9">
        <w:rPr>
          <w:szCs w:val="22"/>
        </w:rPr>
        <w:t>. Iz poznatih potrošnji goriva te emisijskih faktora izračunate su emisije CO</w:t>
      </w:r>
      <w:r w:rsidRPr="00946AE9">
        <w:rPr>
          <w:szCs w:val="22"/>
          <w:vertAlign w:val="subscript"/>
        </w:rPr>
        <w:t>2</w:t>
      </w:r>
      <w:r w:rsidRPr="00946AE9">
        <w:rPr>
          <w:szCs w:val="22"/>
        </w:rPr>
        <w:t xml:space="preserve"> sektora zgradarstva koje su prikazane u </w:t>
      </w:r>
      <w:r w:rsidR="001A21A2">
        <w:rPr>
          <w:szCs w:val="22"/>
        </w:rPr>
        <w:t>T</w:t>
      </w:r>
      <w:r w:rsidRPr="00946AE9">
        <w:rPr>
          <w:szCs w:val="22"/>
        </w:rPr>
        <w:t xml:space="preserve">ablici </w:t>
      </w:r>
      <w:r w:rsidR="00175AA2">
        <w:rPr>
          <w:szCs w:val="22"/>
        </w:rPr>
        <w:t>3</w:t>
      </w:r>
      <w:r w:rsidRPr="00946AE9">
        <w:rPr>
          <w:szCs w:val="22"/>
        </w:rPr>
        <w:t xml:space="preserve"> i na </w:t>
      </w:r>
      <w:r w:rsidR="001A21A2">
        <w:rPr>
          <w:szCs w:val="22"/>
        </w:rPr>
        <w:t>Sl</w:t>
      </w:r>
      <w:r w:rsidRPr="00946AE9">
        <w:rPr>
          <w:szCs w:val="22"/>
        </w:rPr>
        <w:t>ici 1</w:t>
      </w:r>
      <w:r w:rsidR="00E10996">
        <w:rPr>
          <w:szCs w:val="22"/>
        </w:rPr>
        <w:t>.</w:t>
      </w:r>
    </w:p>
    <w:p w14:paraId="193C7CBC" w14:textId="77777777" w:rsidR="00D0051F" w:rsidRPr="00946AE9" w:rsidRDefault="00D0051F" w:rsidP="00C83D0B">
      <w:pPr>
        <w:spacing w:after="0"/>
        <w:rPr>
          <w:szCs w:val="22"/>
        </w:rPr>
      </w:pPr>
    </w:p>
    <w:p w14:paraId="04580EAE" w14:textId="3E2840D8" w:rsidR="00C83D0B" w:rsidRDefault="00535DE0" w:rsidP="00535DE0">
      <w:pPr>
        <w:pStyle w:val="Opisslike"/>
      </w:pPr>
      <w:r>
        <w:t xml:space="preserve">Tablica </w:t>
      </w:r>
      <w:r w:rsidR="00F03229">
        <w:rPr>
          <w:noProof/>
        </w:rPr>
        <w:fldChar w:fldCharType="begin"/>
      </w:r>
      <w:r w:rsidR="00F03229">
        <w:rPr>
          <w:noProof/>
        </w:rPr>
        <w:instrText xml:space="preserve"> SEQ Tablica \* ARABIC </w:instrText>
      </w:r>
      <w:r w:rsidR="00F03229">
        <w:rPr>
          <w:noProof/>
        </w:rPr>
        <w:fldChar w:fldCharType="separate"/>
      </w:r>
      <w:r>
        <w:rPr>
          <w:noProof/>
        </w:rPr>
        <w:t>2</w:t>
      </w:r>
      <w:r w:rsidR="00F03229">
        <w:rPr>
          <w:noProof/>
        </w:rPr>
        <w:fldChar w:fldCharType="end"/>
      </w:r>
      <w:r w:rsidR="00E10996">
        <w:rPr>
          <w:noProof/>
        </w:rPr>
        <w:t>:</w:t>
      </w:r>
      <w:r w:rsidR="00C83D0B">
        <w:t xml:space="preserve"> Korišteni emisijski faktori za određivanje emisija CO</w:t>
      </w:r>
      <w:r w:rsidR="00C83D0B">
        <w:rPr>
          <w:vertAlign w:val="subscript"/>
        </w:rPr>
        <w:t>2</w:t>
      </w:r>
      <w:r w:rsidR="00C83D0B">
        <w:t xml:space="preserve"> </w:t>
      </w:r>
      <w:r w:rsidR="00E34CA6">
        <w:t xml:space="preserve">u Baznom </w:t>
      </w:r>
      <w:r w:rsidR="0096317B">
        <w:t>i</w:t>
      </w:r>
      <w:r w:rsidR="00E34CA6">
        <w:t>nventaru emisija za 2010.</w:t>
      </w:r>
    </w:p>
    <w:tbl>
      <w:tblPr>
        <w:tblStyle w:val="GridTable41"/>
        <w:tblW w:w="0" w:type="auto"/>
        <w:jc w:val="center"/>
        <w:tblLook w:val="04A0" w:firstRow="1" w:lastRow="0" w:firstColumn="1" w:lastColumn="0" w:noHBand="0" w:noVBand="1"/>
      </w:tblPr>
      <w:tblGrid>
        <w:gridCol w:w="4494"/>
        <w:gridCol w:w="4494"/>
      </w:tblGrid>
      <w:tr w:rsidR="00FA3F26" w:rsidRPr="00F37FAF" w14:paraId="13482C12" w14:textId="77777777" w:rsidTr="00FA3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</w:tcPr>
          <w:p w14:paraId="7B2ACD7D" w14:textId="52EBCC33" w:rsidR="00FA3F26" w:rsidRPr="00F37FAF" w:rsidRDefault="00FA3F26" w:rsidP="00FC33F7">
            <w:pPr>
              <w:keepNext/>
              <w:keepLines/>
              <w:spacing w:before="40"/>
              <w:jc w:val="center"/>
              <w:outlineLvl w:val="2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Energent</w:t>
            </w:r>
          </w:p>
        </w:tc>
        <w:tc>
          <w:tcPr>
            <w:tcW w:w="4494" w:type="dxa"/>
          </w:tcPr>
          <w:p w14:paraId="341A1F55" w14:textId="4D022E4F" w:rsidR="00FA3F26" w:rsidRPr="00F37FAF" w:rsidRDefault="00FA3F26" w:rsidP="00FC33F7">
            <w:pPr>
              <w:keepNext/>
              <w:keepLines/>
              <w:spacing w:before="4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</w:rPr>
            </w:pPr>
            <w:r>
              <w:rPr>
                <w:rFonts w:ascii="Calibri" w:hAnsi="Calibri" w:cs="Calibri"/>
              </w:rPr>
              <w:t>Jedinica (</w:t>
            </w:r>
            <w:r w:rsidRPr="00F37FAF">
              <w:rPr>
                <w:rFonts w:ascii="Calibri" w:hAnsi="Calibri" w:cs="Calibri"/>
              </w:rPr>
              <w:t>kgCO</w:t>
            </w:r>
            <w:r>
              <w:rPr>
                <w:rFonts w:ascii="Calibri" w:hAnsi="Calibri" w:cs="Calibri"/>
                <w:vertAlign w:val="subscript"/>
              </w:rPr>
              <w:t>2</w:t>
            </w:r>
            <w:r w:rsidRPr="00F37FAF">
              <w:rPr>
                <w:rFonts w:ascii="Calibri" w:hAnsi="Calibri" w:cs="Calibri"/>
              </w:rPr>
              <w:t>/kWh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FA3F26" w:rsidRPr="00F37FAF" w14:paraId="3C13D2B2" w14:textId="77777777" w:rsidTr="0092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</w:tcPr>
          <w:p w14:paraId="52CF5AF9" w14:textId="77777777" w:rsidR="00FA3F26" w:rsidRPr="00F37FAF" w:rsidRDefault="00FA3F26" w:rsidP="00FC33F7">
            <w:pPr>
              <w:keepNext/>
              <w:keepLines/>
              <w:spacing w:before="40"/>
              <w:jc w:val="center"/>
              <w:outlineLvl w:val="2"/>
              <w:rPr>
                <w:rFonts w:eastAsia="Times New Roman" w:cstheme="minorHAnsi"/>
              </w:rPr>
            </w:pPr>
            <w:r w:rsidRPr="00F37FAF">
              <w:rPr>
                <w:rFonts w:eastAsia="Times New Roman" w:cstheme="minorHAnsi"/>
              </w:rPr>
              <w:t>Električna energija</w:t>
            </w:r>
          </w:p>
        </w:tc>
        <w:tc>
          <w:tcPr>
            <w:tcW w:w="4494" w:type="dxa"/>
          </w:tcPr>
          <w:p w14:paraId="77E1D147" w14:textId="229A35CE" w:rsidR="00FA3F26" w:rsidRPr="00FA3F26" w:rsidRDefault="00FA3F26" w:rsidP="00FA3F26">
            <w:pPr>
              <w:keepNext/>
              <w:keepLines/>
              <w:spacing w:before="4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0,</w:t>
            </w:r>
            <w:r w:rsidR="00D63F1F">
              <w:rPr>
                <w:rFonts w:eastAsia="Times New Roman" w:cstheme="minorHAnsi"/>
              </w:rPr>
              <w:t>376</w:t>
            </w:r>
          </w:p>
        </w:tc>
      </w:tr>
      <w:tr w:rsidR="00FA3F26" w:rsidRPr="00F37FAF" w14:paraId="6F6A6800" w14:textId="77777777" w:rsidTr="009252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58344998" w14:textId="10586DA1" w:rsidR="00FA3F26" w:rsidRPr="00F37FAF" w:rsidRDefault="00FA3F26" w:rsidP="00D0051F">
            <w:pPr>
              <w:keepNext/>
              <w:keepLines/>
              <w:spacing w:before="40"/>
              <w:jc w:val="center"/>
              <w:outlineLvl w:val="2"/>
              <w:rPr>
                <w:rFonts w:eastAsia="Times New Roman" w:cstheme="minorHAnsi"/>
              </w:rPr>
            </w:pPr>
            <w:r w:rsidRPr="00F37FAF">
              <w:rPr>
                <w:rFonts w:ascii="Calibri" w:hAnsi="Calibri" w:cs="Calibri"/>
              </w:rPr>
              <w:t>Ekstra lako loživo ulje</w:t>
            </w:r>
            <w:r w:rsidR="00260A91">
              <w:rPr>
                <w:rFonts w:ascii="Calibri" w:hAnsi="Calibri" w:cs="Calibri"/>
              </w:rPr>
              <w:t xml:space="preserve"> </w:t>
            </w:r>
            <w:r w:rsidRPr="00F37FAF">
              <w:rPr>
                <w:rFonts w:ascii="Calibri" w:hAnsi="Calibri" w:cs="Calibri"/>
              </w:rPr>
              <w:t>/</w:t>
            </w:r>
            <w:r w:rsidR="00260A91">
              <w:rPr>
                <w:rFonts w:ascii="Calibri" w:hAnsi="Calibri" w:cs="Calibri"/>
              </w:rPr>
              <w:t xml:space="preserve"> </w:t>
            </w:r>
            <w:r w:rsidRPr="00F37FAF">
              <w:rPr>
                <w:rFonts w:ascii="Calibri" w:hAnsi="Calibri" w:cs="Calibri"/>
              </w:rPr>
              <w:t>Lako loživo ulje</w:t>
            </w:r>
            <w:r w:rsidR="00E34CA6">
              <w:rPr>
                <w:rFonts w:ascii="Calibri" w:hAnsi="Calibri" w:cs="Calibri"/>
              </w:rPr>
              <w:t>/Dizel</w:t>
            </w:r>
          </w:p>
        </w:tc>
        <w:tc>
          <w:tcPr>
            <w:tcW w:w="4494" w:type="dxa"/>
            <w:vAlign w:val="center"/>
          </w:tcPr>
          <w:p w14:paraId="68F834E4" w14:textId="7A883961" w:rsidR="00FA3F26" w:rsidRPr="00F37FAF" w:rsidRDefault="00FA3F26" w:rsidP="005625CF">
            <w:pPr>
              <w:keepNext/>
              <w:keepLines/>
              <w:spacing w:before="40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37FAF">
              <w:rPr>
                <w:rFonts w:ascii="Calibri" w:hAnsi="Calibri" w:cs="Calibri"/>
              </w:rPr>
              <w:t>0,267</w:t>
            </w:r>
          </w:p>
        </w:tc>
      </w:tr>
      <w:tr w:rsidR="00FA3F26" w:rsidRPr="00F37FAF" w14:paraId="447863E1" w14:textId="77777777" w:rsidTr="0092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5AFC405F" w14:textId="6D38C4DB" w:rsidR="00FA3F26" w:rsidRPr="00F37FAF" w:rsidRDefault="00FA3F26" w:rsidP="005625CF">
            <w:pPr>
              <w:keepNext/>
              <w:keepLines/>
              <w:spacing w:before="40"/>
              <w:jc w:val="center"/>
              <w:outlineLvl w:val="2"/>
              <w:rPr>
                <w:rFonts w:eastAsia="Times New Roman" w:cstheme="minorHAnsi"/>
              </w:rPr>
            </w:pPr>
            <w:r w:rsidRPr="00F37FAF">
              <w:rPr>
                <w:rFonts w:eastAsia="Times New Roman" w:cstheme="minorHAnsi"/>
              </w:rPr>
              <w:t>Ukapljeni naftni plin</w:t>
            </w:r>
            <w:r>
              <w:rPr>
                <w:rFonts w:eastAsia="Times New Roman" w:cstheme="minorHAnsi"/>
              </w:rPr>
              <w:t xml:space="preserve"> </w:t>
            </w:r>
            <w:r w:rsidRPr="00F37FAF">
              <w:rPr>
                <w:rFonts w:ascii="Calibri" w:hAnsi="Calibri" w:cs="Calibri"/>
              </w:rPr>
              <w:t>(UNP)</w:t>
            </w:r>
          </w:p>
        </w:tc>
        <w:tc>
          <w:tcPr>
            <w:tcW w:w="4494" w:type="dxa"/>
            <w:vAlign w:val="center"/>
          </w:tcPr>
          <w:p w14:paraId="1A3E72E7" w14:textId="4C4705EC" w:rsidR="00FA3F26" w:rsidRPr="00F37FAF" w:rsidRDefault="00FA3F26" w:rsidP="005625CF">
            <w:pPr>
              <w:keepNext/>
              <w:keepLines/>
              <w:spacing w:before="4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37FAF">
              <w:rPr>
                <w:rFonts w:ascii="Calibri" w:hAnsi="Calibri" w:cs="Calibri"/>
              </w:rPr>
              <w:t>0,227</w:t>
            </w:r>
          </w:p>
        </w:tc>
      </w:tr>
      <w:tr w:rsidR="00FA3F26" w:rsidRPr="00F37FAF" w14:paraId="24B691E3" w14:textId="77777777" w:rsidTr="009252C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599C989C" w14:textId="27062F7C" w:rsidR="00FA3F26" w:rsidRPr="00F37FAF" w:rsidRDefault="00FA3F26" w:rsidP="005625CF">
            <w:pPr>
              <w:keepNext/>
              <w:keepLines/>
              <w:spacing w:before="40"/>
              <w:jc w:val="center"/>
              <w:outlineLvl w:val="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Biomasa, ogrjevno drvo</w:t>
            </w:r>
          </w:p>
        </w:tc>
        <w:tc>
          <w:tcPr>
            <w:tcW w:w="4494" w:type="dxa"/>
            <w:vAlign w:val="center"/>
          </w:tcPr>
          <w:p w14:paraId="67978BC2" w14:textId="2CFEFAA4" w:rsidR="00FA3F26" w:rsidRPr="00F37FAF" w:rsidRDefault="00FA3F26" w:rsidP="005625CF">
            <w:pPr>
              <w:keepNext/>
              <w:keepLines/>
              <w:spacing w:before="40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37FAF">
              <w:rPr>
                <w:rFonts w:ascii="Calibri" w:hAnsi="Calibri" w:cs="Calibri"/>
              </w:rPr>
              <w:t>0</w:t>
            </w:r>
            <w:r w:rsidR="00E10996">
              <w:rPr>
                <w:rFonts w:ascii="Calibri" w:hAnsi="Calibri" w:cs="Calibri"/>
              </w:rPr>
              <w:t>,000</w:t>
            </w:r>
          </w:p>
        </w:tc>
      </w:tr>
      <w:tr w:rsidR="00E34CA6" w:rsidRPr="00F37FAF" w14:paraId="383628F6" w14:textId="77777777" w:rsidTr="0092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27ED6B82" w14:textId="090B2614" w:rsidR="00E34CA6" w:rsidRDefault="00E34CA6" w:rsidP="00E34CA6">
            <w:pPr>
              <w:keepNext/>
              <w:keepLines/>
              <w:spacing w:before="40"/>
              <w:jc w:val="center"/>
              <w:outlineLvl w:val="2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</w:rPr>
              <w:t>Benzin</w:t>
            </w:r>
          </w:p>
        </w:tc>
        <w:tc>
          <w:tcPr>
            <w:tcW w:w="4494" w:type="dxa"/>
            <w:vAlign w:val="center"/>
          </w:tcPr>
          <w:p w14:paraId="5A422FF1" w14:textId="7BABCE02" w:rsidR="00E34CA6" w:rsidRPr="00F37FAF" w:rsidRDefault="00E34CA6" w:rsidP="00E34CA6">
            <w:pPr>
              <w:keepNext/>
              <w:keepLines/>
              <w:spacing w:before="4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0,249</w:t>
            </w:r>
          </w:p>
        </w:tc>
      </w:tr>
    </w:tbl>
    <w:p w14:paraId="0B07647F" w14:textId="77777777" w:rsidR="00C83D0B" w:rsidRDefault="00C83D0B" w:rsidP="00C83D0B"/>
    <w:p w14:paraId="61ED72FE" w14:textId="2F9EBF42" w:rsidR="009414A7" w:rsidRPr="00946AE9" w:rsidRDefault="00722C01" w:rsidP="00722C01">
      <w:pPr>
        <w:spacing w:after="0"/>
        <w:jc w:val="left"/>
        <w:rPr>
          <w:szCs w:val="22"/>
        </w:rPr>
      </w:pPr>
      <w:r>
        <w:rPr>
          <w:szCs w:val="22"/>
        </w:rPr>
        <w:br w:type="page"/>
      </w:r>
    </w:p>
    <w:p w14:paraId="2396C0F9" w14:textId="36B357AD" w:rsidR="0027222A" w:rsidRDefault="0027222A" w:rsidP="0027222A">
      <w:r w:rsidRPr="00946AE9">
        <w:rPr>
          <w:szCs w:val="22"/>
        </w:rPr>
        <w:lastRenderedPageBreak/>
        <w:t>Najveći udio u ukupnoj emisiji CO</w:t>
      </w:r>
      <w:r w:rsidRPr="00946AE9">
        <w:rPr>
          <w:szCs w:val="22"/>
          <w:vertAlign w:val="subscript"/>
        </w:rPr>
        <w:t>2</w:t>
      </w:r>
      <w:r w:rsidRPr="00946AE9">
        <w:rPr>
          <w:szCs w:val="22"/>
        </w:rPr>
        <w:t xml:space="preserve"> čini neizravna emisija iz potrošnje ele</w:t>
      </w:r>
      <w:r>
        <w:rPr>
          <w:szCs w:val="22"/>
        </w:rPr>
        <w:t>ktrične energije s udjelom od 70</w:t>
      </w:r>
      <w:r w:rsidRPr="00946AE9">
        <w:rPr>
          <w:szCs w:val="22"/>
        </w:rPr>
        <w:t xml:space="preserve"> %, zatim slijedi emisija iz potrošnje </w:t>
      </w:r>
      <w:r>
        <w:rPr>
          <w:szCs w:val="22"/>
        </w:rPr>
        <w:t>ekstra lakog loživog ulja - 29 %, te</w:t>
      </w:r>
      <w:r w:rsidRPr="00946AE9">
        <w:rPr>
          <w:szCs w:val="22"/>
        </w:rPr>
        <w:t xml:space="preserve"> emisija iz potrošnje </w:t>
      </w:r>
      <w:r>
        <w:rPr>
          <w:szCs w:val="22"/>
        </w:rPr>
        <w:t xml:space="preserve">ukapljenog naftnog plina - 1 %, (Slika </w:t>
      </w:r>
      <w:r w:rsidR="001A21A2">
        <w:rPr>
          <w:szCs w:val="22"/>
        </w:rPr>
        <w:t>2</w:t>
      </w:r>
      <w:r>
        <w:rPr>
          <w:szCs w:val="22"/>
        </w:rPr>
        <w:t>)</w:t>
      </w:r>
      <w:r w:rsidRPr="00946AE9">
        <w:rPr>
          <w:szCs w:val="22"/>
        </w:rPr>
        <w:t xml:space="preserve">. </w:t>
      </w:r>
    </w:p>
    <w:p w14:paraId="63513FC0" w14:textId="6A3A850E" w:rsidR="00C83D0B" w:rsidRPr="00BB7134" w:rsidRDefault="0027222A" w:rsidP="00535DE0">
      <w:pPr>
        <w:pStyle w:val="Opisslike"/>
      </w:pPr>
      <w:r>
        <w:t xml:space="preserve"> </w:t>
      </w:r>
      <w:r w:rsidR="00C83D0B">
        <w:t xml:space="preserve">Tablica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Tablica \* ARABIC </w:instrText>
      </w:r>
      <w:r w:rsidR="00482BED">
        <w:rPr>
          <w:noProof/>
        </w:rPr>
        <w:fldChar w:fldCharType="separate"/>
      </w:r>
      <w:r w:rsidR="00535DE0">
        <w:rPr>
          <w:noProof/>
        </w:rPr>
        <w:t>3</w:t>
      </w:r>
      <w:r w:rsidR="00482BED">
        <w:rPr>
          <w:noProof/>
        </w:rPr>
        <w:fldChar w:fldCharType="end"/>
      </w:r>
      <w:r w:rsidR="00E10996">
        <w:rPr>
          <w:noProof/>
        </w:rPr>
        <w:t>:</w:t>
      </w:r>
      <w:r w:rsidR="00C83D0B">
        <w:t xml:space="preserve"> Emisije CO</w:t>
      </w:r>
      <w:r w:rsidR="00C83D0B">
        <w:rPr>
          <w:vertAlign w:val="subscript"/>
        </w:rPr>
        <w:t>2</w:t>
      </w:r>
      <w:r w:rsidR="00C83D0B">
        <w:t xml:space="preserve"> sektora zgradarstva Grada </w:t>
      </w:r>
      <w:r w:rsidR="00906F96">
        <w:t>Zadra</w:t>
      </w:r>
    </w:p>
    <w:tbl>
      <w:tblPr>
        <w:tblStyle w:val="GridTable4-Accent2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224"/>
        <w:gridCol w:w="1691"/>
        <w:gridCol w:w="1276"/>
        <w:gridCol w:w="1170"/>
        <w:gridCol w:w="1468"/>
      </w:tblGrid>
      <w:tr w:rsidR="00C83D0B" w:rsidRPr="005E4906" w14:paraId="1BBDD2AF" w14:textId="77777777" w:rsidTr="005E4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  <w:vMerge w:val="restart"/>
          </w:tcPr>
          <w:p w14:paraId="3F079B17" w14:textId="77777777" w:rsidR="00C83D0B" w:rsidRPr="005E4906" w:rsidRDefault="00C83D0B" w:rsidP="005E4906">
            <w:pPr>
              <w:jc w:val="center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Kategorija</w:t>
            </w:r>
          </w:p>
        </w:tc>
        <w:tc>
          <w:tcPr>
            <w:tcW w:w="6829" w:type="dxa"/>
            <w:gridSpan w:val="5"/>
          </w:tcPr>
          <w:p w14:paraId="21D5A23D" w14:textId="77777777" w:rsidR="00C83D0B" w:rsidRPr="005E4906" w:rsidRDefault="00C83D0B" w:rsidP="005E4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Emisija CO</w:t>
            </w:r>
            <w:r w:rsidRPr="005E4906">
              <w:rPr>
                <w:rFonts w:cstheme="minorHAnsi"/>
                <w:sz w:val="20"/>
                <w:vertAlign w:val="subscript"/>
              </w:rPr>
              <w:t>2</w:t>
            </w:r>
            <w:r w:rsidRPr="005E4906">
              <w:rPr>
                <w:rFonts w:cstheme="minorHAnsi"/>
                <w:sz w:val="20"/>
              </w:rPr>
              <w:t xml:space="preserve"> (tCO</w:t>
            </w:r>
            <w:r w:rsidRPr="005E4906">
              <w:rPr>
                <w:rFonts w:cstheme="minorHAnsi"/>
                <w:sz w:val="20"/>
                <w:vertAlign w:val="subscript"/>
              </w:rPr>
              <w:t>2</w:t>
            </w:r>
            <w:r w:rsidRPr="005E4906">
              <w:rPr>
                <w:rFonts w:cstheme="minorHAnsi"/>
                <w:sz w:val="20"/>
              </w:rPr>
              <w:t>)</w:t>
            </w:r>
          </w:p>
        </w:tc>
      </w:tr>
      <w:tr w:rsidR="00722C01" w:rsidRPr="005E4906" w14:paraId="481B16EC" w14:textId="77777777" w:rsidTr="0070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  <w:vMerge/>
          </w:tcPr>
          <w:p w14:paraId="5C4832DA" w14:textId="77777777" w:rsidR="00722C01" w:rsidRPr="005E4906" w:rsidRDefault="00722C01" w:rsidP="005E4906">
            <w:pPr>
              <w:jc w:val="center"/>
              <w:rPr>
                <w:rFonts w:cstheme="minorHAnsi"/>
                <w:b w:val="0"/>
                <w:sz w:val="20"/>
              </w:rPr>
            </w:pPr>
          </w:p>
        </w:tc>
        <w:tc>
          <w:tcPr>
            <w:tcW w:w="1224" w:type="dxa"/>
          </w:tcPr>
          <w:p w14:paraId="58D3C6A3" w14:textId="77777777" w:rsidR="00722C01" w:rsidRPr="0070125E" w:rsidRDefault="00722C01" w:rsidP="005E4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70125E">
              <w:rPr>
                <w:rFonts w:cstheme="minorHAnsi"/>
                <w:b/>
                <w:sz w:val="20"/>
              </w:rPr>
              <w:t>Električna energija</w:t>
            </w:r>
          </w:p>
        </w:tc>
        <w:tc>
          <w:tcPr>
            <w:tcW w:w="1691" w:type="dxa"/>
          </w:tcPr>
          <w:p w14:paraId="32605EA6" w14:textId="3F3F358B" w:rsidR="00722C01" w:rsidRPr="0070125E" w:rsidRDefault="00722C01" w:rsidP="005E4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70125E">
              <w:rPr>
                <w:rFonts w:cstheme="minorHAnsi"/>
                <w:b/>
                <w:sz w:val="20"/>
              </w:rPr>
              <w:t>Ekstra lako loživo ulje</w:t>
            </w:r>
          </w:p>
        </w:tc>
        <w:tc>
          <w:tcPr>
            <w:tcW w:w="1276" w:type="dxa"/>
          </w:tcPr>
          <w:p w14:paraId="361BD548" w14:textId="77777777" w:rsidR="00722C01" w:rsidRPr="0070125E" w:rsidRDefault="00722C01" w:rsidP="005E4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70125E">
              <w:rPr>
                <w:rFonts w:cstheme="minorHAnsi"/>
                <w:b/>
                <w:sz w:val="20"/>
              </w:rPr>
              <w:t>Ogrjevno drvo</w:t>
            </w:r>
          </w:p>
        </w:tc>
        <w:tc>
          <w:tcPr>
            <w:tcW w:w="1170" w:type="dxa"/>
          </w:tcPr>
          <w:p w14:paraId="64D1EFDD" w14:textId="77777777" w:rsidR="00722C01" w:rsidRPr="0070125E" w:rsidRDefault="00722C01" w:rsidP="005E4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70125E">
              <w:rPr>
                <w:rFonts w:cstheme="minorHAnsi"/>
                <w:b/>
                <w:sz w:val="20"/>
              </w:rPr>
              <w:t>Ukapljeni naftni plin</w:t>
            </w:r>
          </w:p>
        </w:tc>
        <w:tc>
          <w:tcPr>
            <w:tcW w:w="1468" w:type="dxa"/>
          </w:tcPr>
          <w:p w14:paraId="64EBE0C7" w14:textId="77777777" w:rsidR="00722C01" w:rsidRPr="005E4906" w:rsidRDefault="00722C01" w:rsidP="005E4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UKUPNO po sektorima</w:t>
            </w:r>
          </w:p>
        </w:tc>
      </w:tr>
      <w:tr w:rsidR="0070125E" w:rsidRPr="005E4906" w14:paraId="2EF0471C" w14:textId="77777777" w:rsidTr="0070125E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3F6C775F" w14:textId="564A511F" w:rsidR="0070125E" w:rsidRPr="0070125E" w:rsidRDefault="0070125E" w:rsidP="0070125E">
            <w:pPr>
              <w:jc w:val="center"/>
              <w:rPr>
                <w:rFonts w:cstheme="minorHAnsi"/>
                <w:sz w:val="20"/>
              </w:rPr>
            </w:pPr>
            <w:r w:rsidRPr="0070125E">
              <w:rPr>
                <w:rFonts w:cstheme="minorHAnsi"/>
                <w:sz w:val="20"/>
              </w:rPr>
              <w:t>Zgrade Gradske uprave i Gradskih ustanova/poduzeća</w:t>
            </w:r>
          </w:p>
        </w:tc>
        <w:tc>
          <w:tcPr>
            <w:tcW w:w="1224" w:type="dxa"/>
          </w:tcPr>
          <w:p w14:paraId="3F2C509A" w14:textId="193753FB" w:rsidR="0070125E" w:rsidRPr="005E4906" w:rsidRDefault="0070125E" w:rsidP="00330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5.50</w:t>
            </w:r>
            <w:r w:rsidR="00330E73">
              <w:rPr>
                <w:rFonts w:cstheme="minorHAnsi"/>
                <w:sz w:val="20"/>
              </w:rPr>
              <w:t>8,77</w:t>
            </w:r>
          </w:p>
        </w:tc>
        <w:tc>
          <w:tcPr>
            <w:tcW w:w="1691" w:type="dxa"/>
          </w:tcPr>
          <w:p w14:paraId="221D0B0C" w14:textId="65495079" w:rsidR="0070125E" w:rsidRPr="005E4906" w:rsidRDefault="0070125E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1</w:t>
            </w:r>
            <w:r w:rsidR="007171E0">
              <w:rPr>
                <w:rFonts w:cstheme="minorHAnsi"/>
                <w:sz w:val="20"/>
              </w:rPr>
              <w:t>.</w:t>
            </w:r>
            <w:r w:rsidRPr="005E4906">
              <w:rPr>
                <w:rFonts w:cstheme="minorHAnsi"/>
                <w:sz w:val="20"/>
              </w:rPr>
              <w:t>850</w:t>
            </w:r>
            <w:r w:rsidR="00330E73">
              <w:rPr>
                <w:rFonts w:cstheme="minorHAnsi"/>
                <w:sz w:val="20"/>
              </w:rPr>
              <w:t>,04</w:t>
            </w:r>
          </w:p>
        </w:tc>
        <w:tc>
          <w:tcPr>
            <w:tcW w:w="1276" w:type="dxa"/>
          </w:tcPr>
          <w:p w14:paraId="4F3DA2CD" w14:textId="5F3DCBA1" w:rsidR="0070125E" w:rsidRPr="005E4906" w:rsidRDefault="0070125E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0</w:t>
            </w:r>
          </w:p>
        </w:tc>
        <w:tc>
          <w:tcPr>
            <w:tcW w:w="1170" w:type="dxa"/>
          </w:tcPr>
          <w:p w14:paraId="0A9B6B57" w14:textId="7A9D7D47" w:rsidR="0070125E" w:rsidRPr="005E4906" w:rsidRDefault="0070125E" w:rsidP="00330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4</w:t>
            </w:r>
            <w:r w:rsidR="00330E73">
              <w:rPr>
                <w:rFonts w:cstheme="minorHAnsi"/>
                <w:sz w:val="20"/>
              </w:rPr>
              <w:t>1,99</w:t>
            </w:r>
          </w:p>
        </w:tc>
        <w:tc>
          <w:tcPr>
            <w:tcW w:w="1468" w:type="dxa"/>
          </w:tcPr>
          <w:p w14:paraId="0771AC6B" w14:textId="06DBF65F" w:rsidR="0070125E" w:rsidRPr="005E4906" w:rsidRDefault="0070125E" w:rsidP="00330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7.40</w:t>
            </w:r>
            <w:r w:rsidR="00330E73">
              <w:rPr>
                <w:rFonts w:cstheme="minorHAnsi"/>
                <w:b/>
                <w:sz w:val="20"/>
              </w:rPr>
              <w:t>0,80</w:t>
            </w:r>
          </w:p>
        </w:tc>
      </w:tr>
      <w:tr w:rsidR="0070125E" w:rsidRPr="005E4906" w14:paraId="4F2075BC" w14:textId="77777777" w:rsidTr="0070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524B3366" w14:textId="7DC447B5" w:rsidR="0070125E" w:rsidRPr="0070125E" w:rsidRDefault="0070125E" w:rsidP="0070125E">
            <w:pPr>
              <w:jc w:val="center"/>
              <w:rPr>
                <w:rFonts w:cstheme="minorHAnsi"/>
                <w:sz w:val="20"/>
              </w:rPr>
            </w:pPr>
            <w:r w:rsidRPr="0070125E">
              <w:rPr>
                <w:rFonts w:cstheme="minorHAnsi"/>
                <w:sz w:val="20"/>
              </w:rPr>
              <w:t>Stambeni objekti (kućanstva)</w:t>
            </w:r>
          </w:p>
        </w:tc>
        <w:tc>
          <w:tcPr>
            <w:tcW w:w="1224" w:type="dxa"/>
          </w:tcPr>
          <w:p w14:paraId="29FFBDD4" w14:textId="757D2DBC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65.838</w:t>
            </w:r>
            <w:r w:rsidR="00330E73">
              <w:rPr>
                <w:rFonts w:cstheme="minorHAnsi"/>
                <w:sz w:val="20"/>
              </w:rPr>
              <w:t>,35</w:t>
            </w:r>
          </w:p>
        </w:tc>
        <w:tc>
          <w:tcPr>
            <w:tcW w:w="1691" w:type="dxa"/>
          </w:tcPr>
          <w:p w14:paraId="15F0CB03" w14:textId="5E5072D7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2.459</w:t>
            </w:r>
            <w:r w:rsidR="001A21A2">
              <w:rPr>
                <w:rFonts w:cstheme="minorHAnsi"/>
                <w:sz w:val="20"/>
              </w:rPr>
              <w:t>,6</w:t>
            </w:r>
            <w:r w:rsidR="00330E73">
              <w:rPr>
                <w:rFonts w:cstheme="minorHAnsi"/>
                <w:sz w:val="20"/>
              </w:rPr>
              <w:t>0</w:t>
            </w:r>
          </w:p>
        </w:tc>
        <w:tc>
          <w:tcPr>
            <w:tcW w:w="1276" w:type="dxa"/>
          </w:tcPr>
          <w:p w14:paraId="51A8EDCF" w14:textId="7AC2E10D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0</w:t>
            </w:r>
          </w:p>
        </w:tc>
        <w:tc>
          <w:tcPr>
            <w:tcW w:w="1170" w:type="dxa"/>
          </w:tcPr>
          <w:p w14:paraId="58B7EF1F" w14:textId="45DEA865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896</w:t>
            </w:r>
            <w:r w:rsidR="00330E73">
              <w:rPr>
                <w:rFonts w:cstheme="minorHAnsi"/>
                <w:sz w:val="20"/>
              </w:rPr>
              <w:t>,20</w:t>
            </w:r>
          </w:p>
        </w:tc>
        <w:tc>
          <w:tcPr>
            <w:tcW w:w="1468" w:type="dxa"/>
          </w:tcPr>
          <w:p w14:paraId="235D58B2" w14:textId="0345B11A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69.194</w:t>
            </w:r>
            <w:r w:rsidR="00330E73">
              <w:rPr>
                <w:rFonts w:cstheme="minorHAnsi"/>
                <w:b/>
                <w:sz w:val="20"/>
              </w:rPr>
              <w:t>,15</w:t>
            </w:r>
          </w:p>
        </w:tc>
      </w:tr>
      <w:tr w:rsidR="0070125E" w:rsidRPr="005E4906" w14:paraId="7893235C" w14:textId="77777777" w:rsidTr="007012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771215A5" w14:textId="77777777" w:rsidR="0070125E" w:rsidRPr="0070125E" w:rsidRDefault="0070125E" w:rsidP="0070125E">
            <w:pPr>
              <w:jc w:val="center"/>
              <w:rPr>
                <w:rFonts w:cstheme="minorHAnsi"/>
                <w:sz w:val="20"/>
              </w:rPr>
            </w:pPr>
            <w:r w:rsidRPr="0070125E">
              <w:rPr>
                <w:rFonts w:cstheme="minorHAnsi"/>
                <w:sz w:val="20"/>
              </w:rPr>
              <w:t>Zgrade komercijalnog i uslužnog sektora</w:t>
            </w:r>
          </w:p>
        </w:tc>
        <w:tc>
          <w:tcPr>
            <w:tcW w:w="1224" w:type="dxa"/>
          </w:tcPr>
          <w:p w14:paraId="0BD551C8" w14:textId="14780D54" w:rsidR="0070125E" w:rsidRPr="005E4906" w:rsidRDefault="0070125E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28.928</w:t>
            </w:r>
            <w:r w:rsidR="00330E73">
              <w:rPr>
                <w:rFonts w:cstheme="minorHAnsi"/>
                <w:sz w:val="20"/>
              </w:rPr>
              <w:t>,31</w:t>
            </w:r>
          </w:p>
        </w:tc>
        <w:tc>
          <w:tcPr>
            <w:tcW w:w="1691" w:type="dxa"/>
          </w:tcPr>
          <w:p w14:paraId="5C5595C2" w14:textId="3F874B71" w:rsidR="0070125E" w:rsidRPr="005E4906" w:rsidRDefault="0070125E" w:rsidP="001A2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37.07</w:t>
            </w:r>
            <w:r w:rsidR="001A21A2">
              <w:rPr>
                <w:rFonts w:cstheme="minorHAnsi"/>
                <w:sz w:val="20"/>
              </w:rPr>
              <w:t>2,</w:t>
            </w:r>
            <w:r w:rsidR="00330E73">
              <w:rPr>
                <w:rFonts w:cstheme="minorHAnsi"/>
                <w:sz w:val="20"/>
              </w:rPr>
              <w:t>68</w:t>
            </w:r>
          </w:p>
        </w:tc>
        <w:tc>
          <w:tcPr>
            <w:tcW w:w="1276" w:type="dxa"/>
          </w:tcPr>
          <w:p w14:paraId="5A5F122F" w14:textId="3754C5CE" w:rsidR="0070125E" w:rsidRPr="005E4906" w:rsidRDefault="0070125E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0</w:t>
            </w:r>
          </w:p>
        </w:tc>
        <w:tc>
          <w:tcPr>
            <w:tcW w:w="1170" w:type="dxa"/>
          </w:tcPr>
          <w:p w14:paraId="0C4985B2" w14:textId="294C7F94" w:rsidR="0070125E" w:rsidRPr="005E4906" w:rsidRDefault="0016677E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/</w:t>
            </w:r>
          </w:p>
        </w:tc>
        <w:tc>
          <w:tcPr>
            <w:tcW w:w="1468" w:type="dxa"/>
          </w:tcPr>
          <w:p w14:paraId="7B9AB15C" w14:textId="4465F8FB" w:rsidR="0070125E" w:rsidRPr="005E4906" w:rsidRDefault="0070125E" w:rsidP="00330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66.00</w:t>
            </w:r>
            <w:r w:rsidR="00330E73">
              <w:rPr>
                <w:rFonts w:cstheme="minorHAnsi"/>
                <w:b/>
                <w:sz w:val="20"/>
              </w:rPr>
              <w:t>0,99</w:t>
            </w:r>
          </w:p>
        </w:tc>
      </w:tr>
      <w:tr w:rsidR="0070125E" w:rsidRPr="005E4906" w14:paraId="27A1BC58" w14:textId="77777777" w:rsidTr="0070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3FC073E3" w14:textId="77777777" w:rsidR="0070125E" w:rsidRPr="005E4906" w:rsidRDefault="0070125E" w:rsidP="0070125E">
            <w:pPr>
              <w:jc w:val="center"/>
              <w:rPr>
                <w:rFonts w:cstheme="minorHAnsi"/>
                <w:sz w:val="20"/>
              </w:rPr>
            </w:pPr>
            <w:r w:rsidRPr="005E4906">
              <w:rPr>
                <w:rFonts w:cstheme="minorHAnsi"/>
                <w:sz w:val="20"/>
              </w:rPr>
              <w:t>UKUPNO po kategorijama</w:t>
            </w:r>
          </w:p>
        </w:tc>
        <w:tc>
          <w:tcPr>
            <w:tcW w:w="1224" w:type="dxa"/>
          </w:tcPr>
          <w:p w14:paraId="552AA1DB" w14:textId="0C1DEB76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100.275</w:t>
            </w:r>
            <w:r w:rsidR="00330E73">
              <w:rPr>
                <w:rFonts w:cstheme="minorHAnsi"/>
                <w:b/>
                <w:sz w:val="20"/>
              </w:rPr>
              <w:t>,43</w:t>
            </w:r>
          </w:p>
        </w:tc>
        <w:tc>
          <w:tcPr>
            <w:tcW w:w="1691" w:type="dxa"/>
          </w:tcPr>
          <w:p w14:paraId="20BAFCCC" w14:textId="3C0F4670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41.382</w:t>
            </w:r>
            <w:r w:rsidR="00330E73">
              <w:rPr>
                <w:rFonts w:cstheme="minorHAnsi"/>
                <w:b/>
                <w:sz w:val="20"/>
              </w:rPr>
              <w:t>,32</w:t>
            </w:r>
          </w:p>
        </w:tc>
        <w:tc>
          <w:tcPr>
            <w:tcW w:w="1276" w:type="dxa"/>
          </w:tcPr>
          <w:p w14:paraId="4080F267" w14:textId="4CA6304D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0</w:t>
            </w:r>
          </w:p>
        </w:tc>
        <w:tc>
          <w:tcPr>
            <w:tcW w:w="1170" w:type="dxa"/>
          </w:tcPr>
          <w:p w14:paraId="2DE04085" w14:textId="17D7C0DB" w:rsidR="0070125E" w:rsidRPr="005E4906" w:rsidRDefault="0070125E" w:rsidP="0070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938</w:t>
            </w:r>
            <w:r w:rsidR="00330E73">
              <w:rPr>
                <w:rFonts w:cstheme="minorHAnsi"/>
                <w:b/>
                <w:sz w:val="20"/>
              </w:rPr>
              <w:t>,19</w:t>
            </w:r>
          </w:p>
        </w:tc>
        <w:tc>
          <w:tcPr>
            <w:tcW w:w="1468" w:type="dxa"/>
          </w:tcPr>
          <w:p w14:paraId="0F1805C3" w14:textId="170D813D" w:rsidR="0070125E" w:rsidRPr="005E4906" w:rsidRDefault="0070125E" w:rsidP="00330E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5E4906">
              <w:rPr>
                <w:rFonts w:cstheme="minorHAnsi"/>
                <w:b/>
                <w:sz w:val="20"/>
              </w:rPr>
              <w:t>142.59</w:t>
            </w:r>
            <w:r w:rsidR="00330E73">
              <w:rPr>
                <w:rFonts w:cstheme="minorHAnsi"/>
                <w:b/>
                <w:sz w:val="20"/>
              </w:rPr>
              <w:t>5,94</w:t>
            </w:r>
          </w:p>
        </w:tc>
      </w:tr>
    </w:tbl>
    <w:p w14:paraId="11807426" w14:textId="74F628DF" w:rsidR="00A005CB" w:rsidRDefault="00A005CB" w:rsidP="00C83D0B">
      <w:pPr>
        <w:jc w:val="center"/>
        <w:rPr>
          <w:rFonts w:ascii="Calibri" w:eastAsia="Calibri" w:hAnsi="Calibri" w:cs="Calibri"/>
          <w:highlight w:val="yellow"/>
        </w:rPr>
      </w:pPr>
    </w:p>
    <w:p w14:paraId="708607FE" w14:textId="2FC187D4" w:rsidR="00A005CB" w:rsidRDefault="005A1C14" w:rsidP="0027222A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drawing>
          <wp:inline distT="0" distB="0" distL="0" distR="0" wp14:anchorId="62F132A9" wp14:editId="3EBE90B0">
            <wp:extent cx="5980430" cy="4298315"/>
            <wp:effectExtent l="0" t="0" r="127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65353" w14:textId="460547FF" w:rsidR="0027222A" w:rsidRPr="00793822" w:rsidRDefault="0027222A" w:rsidP="00535DE0">
      <w:pPr>
        <w:pStyle w:val="Opisslike"/>
      </w:pPr>
      <w:r w:rsidRPr="00793822">
        <w:t xml:space="preserve">Slika </w:t>
      </w:r>
      <w:r>
        <w:rPr>
          <w:noProof/>
        </w:rPr>
        <w:fldChar w:fldCharType="begin"/>
      </w:r>
      <w:r>
        <w:rPr>
          <w:noProof/>
        </w:rPr>
        <w:instrText xml:space="preserve"> SEQ Slika \* ARABIC </w:instrText>
      </w:r>
      <w:r>
        <w:rPr>
          <w:noProof/>
        </w:rPr>
        <w:fldChar w:fldCharType="separate"/>
      </w:r>
      <w:r w:rsidR="00112DBC">
        <w:rPr>
          <w:noProof/>
        </w:rPr>
        <w:t>1</w:t>
      </w:r>
      <w:r>
        <w:rPr>
          <w:noProof/>
        </w:rPr>
        <w:fldChar w:fldCharType="end"/>
      </w:r>
      <w:r w:rsidRPr="00793822">
        <w:rPr>
          <w:noProof/>
        </w:rPr>
        <w:t>:</w:t>
      </w:r>
      <w:r w:rsidRPr="00793822">
        <w:t xml:space="preserve"> Emisije CO</w:t>
      </w:r>
      <w:r w:rsidRPr="00793822">
        <w:rPr>
          <w:vertAlign w:val="subscript"/>
        </w:rPr>
        <w:t>2</w:t>
      </w:r>
      <w:r>
        <w:t xml:space="preserve"> u</w:t>
      </w:r>
      <w:r w:rsidRPr="00793822">
        <w:t xml:space="preserve"> sektor</w:t>
      </w:r>
      <w:r>
        <w:t>u</w:t>
      </w:r>
      <w:r w:rsidRPr="00793822">
        <w:t xml:space="preserve"> zgradarstva Grada </w:t>
      </w:r>
      <w:r>
        <w:t>Zadra</w:t>
      </w:r>
    </w:p>
    <w:p w14:paraId="71DA6CBF" w14:textId="77777777" w:rsidR="00CD10BC" w:rsidRPr="003C703F" w:rsidRDefault="00CD10BC" w:rsidP="001D64B3">
      <w:pPr>
        <w:rPr>
          <w:highlight w:val="yellow"/>
        </w:rPr>
      </w:pPr>
    </w:p>
    <w:p w14:paraId="23009C09" w14:textId="233B7CC8" w:rsidR="00C83D0B" w:rsidRDefault="0097171E" w:rsidP="00C83D0B">
      <w:pPr>
        <w:jc w:val="center"/>
        <w:rPr>
          <w:rFonts w:ascii="Calibri" w:eastAsia="Calibri" w:hAnsi="Calibri" w:cs="Calibri"/>
        </w:rPr>
      </w:pPr>
      <w:r>
        <w:rPr>
          <w:noProof/>
          <w:lang w:eastAsia="hr-HR"/>
        </w:rPr>
        <w:drawing>
          <wp:inline distT="0" distB="0" distL="0" distR="0" wp14:anchorId="3C2EB895" wp14:editId="5FC33850">
            <wp:extent cx="4432300" cy="3270250"/>
            <wp:effectExtent l="0" t="0" r="6350" b="63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6EC781" w14:textId="7B44E072" w:rsidR="00C83D0B" w:rsidRDefault="00C83D0B" w:rsidP="00535DE0">
      <w:pPr>
        <w:pStyle w:val="Opisslike"/>
      </w:pPr>
      <w:r w:rsidRPr="00793822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12DBC">
        <w:rPr>
          <w:noProof/>
        </w:rPr>
        <w:t>2</w:t>
      </w:r>
      <w:r w:rsidR="00482BED">
        <w:rPr>
          <w:noProof/>
        </w:rPr>
        <w:fldChar w:fldCharType="end"/>
      </w:r>
      <w:r w:rsidR="00CD10BC" w:rsidRPr="00793822">
        <w:rPr>
          <w:noProof/>
        </w:rPr>
        <w:t>:</w:t>
      </w:r>
      <w:r w:rsidRPr="00793822">
        <w:t xml:space="preserve"> Udio pojedinog energenta u ukupnoj emisiji CO</w:t>
      </w:r>
      <w:r w:rsidRPr="00793822">
        <w:rPr>
          <w:vertAlign w:val="subscript"/>
        </w:rPr>
        <w:t>2</w:t>
      </w:r>
      <w:r w:rsidRPr="00793822">
        <w:t xml:space="preserve"> iz sektora zgradarstva Grada </w:t>
      </w:r>
      <w:r w:rsidR="00793822">
        <w:t>Zadra</w:t>
      </w:r>
    </w:p>
    <w:p w14:paraId="05B55834" w14:textId="047837BF" w:rsidR="0027222A" w:rsidRPr="003C703F" w:rsidRDefault="0027222A" w:rsidP="00175AA2">
      <w:pPr>
        <w:rPr>
          <w:rFonts w:ascii="Calibri" w:eastAsia="Calibri" w:hAnsi="Calibri" w:cs="Calibri"/>
          <w:highlight w:val="yellow"/>
        </w:rPr>
      </w:pPr>
      <w:r w:rsidRPr="0027222A">
        <w:rPr>
          <w:rFonts w:ascii="Calibri" w:eastAsia="Calibri" w:hAnsi="Calibri" w:cs="Calibri"/>
        </w:rPr>
        <w:t>Promatrajući sektor zgradarstva najveći udio u ukupnoj emisiji čine stambeni objekti (kućanstva) - 49 %</w:t>
      </w:r>
      <w:r w:rsidR="001A21A2">
        <w:rPr>
          <w:rFonts w:ascii="Calibri" w:eastAsia="Calibri" w:hAnsi="Calibri" w:cs="Calibri"/>
        </w:rPr>
        <w:t>, e</w:t>
      </w:r>
      <w:r w:rsidRPr="0027222A">
        <w:rPr>
          <w:rFonts w:ascii="Calibri" w:eastAsia="Calibri" w:hAnsi="Calibri" w:cs="Calibri"/>
        </w:rPr>
        <w:t>misije iz potrošnje energije zgrada komercijalnog i uslužnog sektora doprinose s udjelom</w:t>
      </w:r>
      <w:r w:rsidR="00FE2C84">
        <w:rPr>
          <w:rFonts w:ascii="Calibri" w:eastAsia="Calibri" w:hAnsi="Calibri" w:cs="Calibri"/>
        </w:rPr>
        <w:t xml:space="preserve"> od</w:t>
      </w:r>
      <w:r w:rsidRPr="0027222A">
        <w:rPr>
          <w:rFonts w:ascii="Calibri" w:eastAsia="Calibri" w:hAnsi="Calibri" w:cs="Calibri"/>
        </w:rPr>
        <w:t xml:space="preserve"> 46</w:t>
      </w:r>
      <w:r w:rsidR="001A21A2">
        <w:rPr>
          <w:rFonts w:ascii="Calibri" w:eastAsia="Calibri" w:hAnsi="Calibri" w:cs="Calibri"/>
        </w:rPr>
        <w:t xml:space="preserve"> </w:t>
      </w:r>
      <w:r w:rsidRPr="0027222A">
        <w:rPr>
          <w:rFonts w:ascii="Calibri" w:eastAsia="Calibri" w:hAnsi="Calibri" w:cs="Calibri"/>
        </w:rPr>
        <w:t>%, dok zgrade Gradske uprave i Gradskih ustanova/poduzeća doprinose ukupnim</w:t>
      </w:r>
      <w:r w:rsidR="00B67695">
        <w:rPr>
          <w:rFonts w:ascii="Calibri" w:eastAsia="Calibri" w:hAnsi="Calibri" w:cs="Calibri"/>
        </w:rPr>
        <w:t xml:space="preserve"> emisijama s 5 % udjela (Slika 3</w:t>
      </w:r>
      <w:r w:rsidRPr="0027222A">
        <w:rPr>
          <w:rFonts w:ascii="Calibri" w:eastAsia="Calibri" w:hAnsi="Calibri" w:cs="Calibri"/>
        </w:rPr>
        <w:t>).</w:t>
      </w:r>
    </w:p>
    <w:p w14:paraId="59E88F95" w14:textId="77777777" w:rsidR="00C83D0B" w:rsidRDefault="00C83D0B" w:rsidP="00C83D0B">
      <w:pPr>
        <w:rPr>
          <w:rFonts w:ascii="Calibri" w:eastAsia="Calibri" w:hAnsi="Calibri" w:cs="Calibri"/>
        </w:rPr>
      </w:pPr>
    </w:p>
    <w:p w14:paraId="49D91A4D" w14:textId="42A90E3F" w:rsidR="00C83D0B" w:rsidRPr="003C703F" w:rsidRDefault="00B65B41" w:rsidP="00B30B40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drawing>
          <wp:inline distT="0" distB="0" distL="0" distR="0" wp14:anchorId="3E0A5E1F" wp14:editId="29BDED92">
            <wp:extent cx="4938604" cy="318706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787" cy="3191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C256B" w14:textId="6CB80D1B" w:rsidR="00B30B40" w:rsidRDefault="00C83D0B" w:rsidP="00535DE0">
      <w:pPr>
        <w:pStyle w:val="Opisslike"/>
        <w:rPr>
          <w:rFonts w:ascii="Calibri" w:eastAsia="Calibri" w:hAnsi="Calibri" w:cs="Calibri"/>
          <w:color w:val="000000"/>
        </w:rPr>
      </w:pPr>
      <w:r w:rsidRPr="0038329B">
        <w:t xml:space="preserve">Slika </w:t>
      </w:r>
      <w:r w:rsidR="00B67695">
        <w:rPr>
          <w:noProof/>
        </w:rPr>
        <w:fldChar w:fldCharType="begin"/>
      </w:r>
      <w:r w:rsidR="00B67695">
        <w:rPr>
          <w:noProof/>
        </w:rPr>
        <w:instrText xml:space="preserve"> SEQ Slika \* ARABIC </w:instrText>
      </w:r>
      <w:r w:rsidR="00B67695">
        <w:rPr>
          <w:noProof/>
        </w:rPr>
        <w:fldChar w:fldCharType="separate"/>
      </w:r>
      <w:r w:rsidR="00112DBC">
        <w:rPr>
          <w:noProof/>
        </w:rPr>
        <w:t>3</w:t>
      </w:r>
      <w:r w:rsidR="00B67695">
        <w:rPr>
          <w:noProof/>
        </w:rPr>
        <w:fldChar w:fldCharType="end"/>
      </w:r>
      <w:r w:rsidR="00CD10BC" w:rsidRPr="0038329B">
        <w:rPr>
          <w:noProof/>
        </w:rPr>
        <w:t>:</w:t>
      </w:r>
      <w:r w:rsidRPr="0038329B">
        <w:t xml:space="preserve"> Udio pojedinog podsektora u ukupnoj emisiji CO</w:t>
      </w:r>
      <w:r w:rsidRPr="0038329B">
        <w:rPr>
          <w:vertAlign w:val="subscript"/>
        </w:rPr>
        <w:t>2</w:t>
      </w:r>
      <w:r w:rsidRPr="0038329B">
        <w:t xml:space="preserve"> iz sektora zgradarstva Grada </w:t>
      </w:r>
      <w:r w:rsidR="0038329B">
        <w:t>Zadra</w:t>
      </w:r>
      <w:r w:rsidR="00B30B40">
        <w:rPr>
          <w:rFonts w:ascii="Calibri" w:eastAsia="Calibri" w:hAnsi="Calibri" w:cs="Calibri"/>
          <w:color w:val="000000"/>
        </w:rPr>
        <w:br w:type="page"/>
      </w:r>
    </w:p>
    <w:p w14:paraId="100CBE67" w14:textId="46D3D59B" w:rsidR="00C83D0B" w:rsidRDefault="00225B19" w:rsidP="00E326D8">
      <w:pPr>
        <w:pStyle w:val="Naslov2"/>
      </w:pPr>
      <w:r>
        <w:lastRenderedPageBreak/>
        <w:t>Bazni</w:t>
      </w:r>
      <w:r w:rsidRPr="007F69AB">
        <w:t xml:space="preserve"> </w:t>
      </w:r>
      <w:r w:rsidR="00C83D0B" w:rsidRPr="007F69AB">
        <w:t>inventar emisija CO</w:t>
      </w:r>
      <w:r w:rsidR="00C83D0B">
        <w:rPr>
          <w:vertAlign w:val="subscript"/>
        </w:rPr>
        <w:t>2</w:t>
      </w:r>
      <w:r w:rsidR="00C83D0B" w:rsidRPr="007F69AB">
        <w:t xml:space="preserve"> iz sektora prometa Grada </w:t>
      </w:r>
      <w:r w:rsidR="003C703F">
        <w:t>Zadra</w:t>
      </w:r>
    </w:p>
    <w:p w14:paraId="53F12153" w14:textId="77777777" w:rsidR="00C83D0B" w:rsidRPr="007F69AB" w:rsidRDefault="00C83D0B" w:rsidP="00C83D0B"/>
    <w:p w14:paraId="649857EC" w14:textId="18BF56C9" w:rsidR="00C83D0B" w:rsidRPr="00946AE9" w:rsidRDefault="00C83D0B" w:rsidP="00C83D0B">
      <w:pPr>
        <w:rPr>
          <w:rFonts w:ascii="Calibri" w:eastAsia="Calibri" w:hAnsi="Calibri" w:cs="Calibri"/>
          <w:szCs w:val="22"/>
        </w:rPr>
      </w:pPr>
      <w:r w:rsidRPr="00946AE9">
        <w:rPr>
          <w:rFonts w:ascii="Calibri" w:eastAsia="Calibri" w:hAnsi="Calibri" w:cs="Calibri"/>
          <w:szCs w:val="22"/>
        </w:rPr>
        <w:t xml:space="preserve">U urbanim je sredinama sektor prometa, osobito cestovni promet, najznačajniji čimbenik onečišćenja zraka, koji u velikoj mjeri </w:t>
      </w:r>
      <w:r w:rsidR="00675B7B">
        <w:rPr>
          <w:rFonts w:ascii="Calibri" w:eastAsia="Calibri" w:hAnsi="Calibri" w:cs="Calibri"/>
          <w:szCs w:val="22"/>
        </w:rPr>
        <w:t>doprinosi</w:t>
      </w:r>
      <w:r w:rsidR="00675B7B" w:rsidRPr="00946AE9">
        <w:rPr>
          <w:rFonts w:ascii="Calibri" w:eastAsia="Calibri" w:hAnsi="Calibri" w:cs="Calibri"/>
          <w:szCs w:val="22"/>
        </w:rPr>
        <w:t xml:space="preserve"> </w:t>
      </w:r>
      <w:r w:rsidRPr="00946AE9">
        <w:rPr>
          <w:rFonts w:ascii="Calibri" w:eastAsia="Calibri" w:hAnsi="Calibri" w:cs="Calibri"/>
          <w:szCs w:val="22"/>
        </w:rPr>
        <w:t>stvaranju stakleničkih plinova –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>, CH</w:t>
      </w:r>
      <w:r w:rsidRPr="00946AE9">
        <w:rPr>
          <w:rFonts w:ascii="Calibri" w:eastAsia="Calibri" w:hAnsi="Calibri" w:cs="Calibri"/>
          <w:szCs w:val="22"/>
          <w:vertAlign w:val="subscript"/>
        </w:rPr>
        <w:t>4</w:t>
      </w:r>
      <w:r w:rsidRPr="00946AE9">
        <w:rPr>
          <w:rFonts w:ascii="Calibri" w:eastAsia="Calibri" w:hAnsi="Calibri" w:cs="Calibri"/>
          <w:szCs w:val="22"/>
        </w:rPr>
        <w:t xml:space="preserve"> i N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>O. Emisija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 xml:space="preserve"> iz motornih vozila ovisna je o brojnim parametrima od kojih su glavni kakvoća goriva, konstrukcijske izvedbe motora i vozila, režim vožnje, vanjski meteorološki uvjeti, održavanje motora i njegova starost i dr.</w:t>
      </w:r>
      <w:r w:rsidR="00716A5C">
        <w:rPr>
          <w:rFonts w:ascii="Calibri" w:eastAsia="Calibri" w:hAnsi="Calibri" w:cs="Calibri"/>
          <w:szCs w:val="22"/>
        </w:rPr>
        <w:t>.</w:t>
      </w:r>
    </w:p>
    <w:p w14:paraId="4371F2B8" w14:textId="6384063D" w:rsidR="00C83D0B" w:rsidRPr="00946AE9" w:rsidRDefault="00716A5C" w:rsidP="00C83D0B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Bazni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inventar emisija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iz sektora prometa Grada </w:t>
      </w:r>
      <w:r w:rsidR="003C703F">
        <w:rPr>
          <w:rFonts w:ascii="Calibri" w:eastAsia="Calibri" w:hAnsi="Calibri" w:cs="Calibri"/>
          <w:szCs w:val="22"/>
        </w:rPr>
        <w:t>Zadra</w:t>
      </w:r>
      <w:r w:rsidR="00C83D0B" w:rsidRPr="00946AE9">
        <w:rPr>
          <w:rFonts w:ascii="Calibri" w:eastAsia="Calibri" w:hAnsi="Calibri" w:cs="Calibri"/>
          <w:szCs w:val="22"/>
        </w:rPr>
        <w:t xml:space="preserve"> podijeljen je na tri osnovna podsektora:</w:t>
      </w:r>
    </w:p>
    <w:p w14:paraId="05794B99" w14:textId="4A81EEE3" w:rsidR="00C83D0B" w:rsidRPr="005625CF" w:rsidRDefault="00C83D0B" w:rsidP="005625CF">
      <w:pPr>
        <w:pStyle w:val="Odlomakpopisa"/>
        <w:numPr>
          <w:ilvl w:val="0"/>
          <w:numId w:val="6"/>
        </w:numPr>
        <w:spacing w:line="360" w:lineRule="auto"/>
        <w:rPr>
          <w:rFonts w:ascii="Calibri" w:eastAsia="Calibri" w:hAnsi="Calibri" w:cs="Calibri"/>
        </w:rPr>
      </w:pPr>
      <w:r w:rsidRPr="005625CF">
        <w:rPr>
          <w:rFonts w:ascii="Calibri" w:eastAsia="Calibri" w:hAnsi="Calibri" w:cs="Calibri"/>
        </w:rPr>
        <w:t>emisije CO</w:t>
      </w:r>
      <w:r w:rsidRPr="005625CF">
        <w:rPr>
          <w:rFonts w:ascii="Calibri" w:eastAsia="Calibri" w:hAnsi="Calibri" w:cs="Calibri"/>
          <w:vertAlign w:val="subscript"/>
        </w:rPr>
        <w:t>2</w:t>
      </w:r>
      <w:r w:rsidRPr="005625CF">
        <w:rPr>
          <w:rFonts w:ascii="Calibri" w:eastAsia="Calibri" w:hAnsi="Calibri" w:cs="Calibri"/>
        </w:rPr>
        <w:t xml:space="preserve"> vozila </w:t>
      </w:r>
      <w:r w:rsidR="00716A5C">
        <w:rPr>
          <w:rFonts w:ascii="Calibri" w:eastAsia="Calibri" w:hAnsi="Calibri" w:cs="Calibri"/>
        </w:rPr>
        <w:t>Gradske uprave i Gradskih ustanova/poduzeća</w:t>
      </w:r>
      <w:r w:rsidRPr="005625CF">
        <w:rPr>
          <w:rFonts w:ascii="Calibri" w:eastAsia="Calibri" w:hAnsi="Calibri" w:cs="Calibri"/>
        </w:rPr>
        <w:t>;</w:t>
      </w:r>
    </w:p>
    <w:p w14:paraId="1955DC64" w14:textId="62E18490" w:rsidR="00C83D0B" w:rsidRPr="005625CF" w:rsidRDefault="00C83D0B" w:rsidP="005625CF">
      <w:pPr>
        <w:pStyle w:val="Odlomakpopisa"/>
        <w:numPr>
          <w:ilvl w:val="0"/>
          <w:numId w:val="6"/>
        </w:numPr>
        <w:spacing w:line="360" w:lineRule="auto"/>
        <w:rPr>
          <w:rFonts w:ascii="Calibri" w:eastAsia="Calibri" w:hAnsi="Calibri" w:cs="Calibri"/>
        </w:rPr>
      </w:pPr>
      <w:r w:rsidRPr="005625CF">
        <w:rPr>
          <w:rFonts w:ascii="Calibri" w:eastAsia="Calibri" w:hAnsi="Calibri" w:cs="Calibri"/>
        </w:rPr>
        <w:t>emisije CO</w:t>
      </w:r>
      <w:r w:rsidRPr="005625CF">
        <w:rPr>
          <w:rFonts w:ascii="Calibri" w:eastAsia="Calibri" w:hAnsi="Calibri" w:cs="Calibri"/>
          <w:vertAlign w:val="subscript"/>
        </w:rPr>
        <w:t>2</w:t>
      </w:r>
      <w:r w:rsidRPr="005625CF">
        <w:rPr>
          <w:rFonts w:ascii="Calibri" w:eastAsia="Calibri" w:hAnsi="Calibri" w:cs="Calibri"/>
        </w:rPr>
        <w:t xml:space="preserve"> javnog prijevoza;</w:t>
      </w:r>
    </w:p>
    <w:p w14:paraId="0DF49776" w14:textId="6F690D26" w:rsidR="00C83D0B" w:rsidRPr="005625CF" w:rsidRDefault="00C83D0B" w:rsidP="005625CF">
      <w:pPr>
        <w:pStyle w:val="Odlomakpopisa"/>
        <w:numPr>
          <w:ilvl w:val="0"/>
          <w:numId w:val="6"/>
        </w:numPr>
        <w:spacing w:line="360" w:lineRule="auto"/>
        <w:rPr>
          <w:rFonts w:ascii="Calibri" w:eastAsia="Calibri" w:hAnsi="Calibri" w:cs="Calibri"/>
        </w:rPr>
      </w:pPr>
      <w:r w:rsidRPr="005625CF">
        <w:rPr>
          <w:rFonts w:ascii="Calibri" w:eastAsia="Calibri" w:hAnsi="Calibri" w:cs="Calibri"/>
        </w:rPr>
        <w:t>emisije CO</w:t>
      </w:r>
      <w:r w:rsidRPr="005625CF">
        <w:rPr>
          <w:rFonts w:ascii="Calibri" w:eastAsia="Calibri" w:hAnsi="Calibri" w:cs="Calibri"/>
          <w:vertAlign w:val="subscript"/>
        </w:rPr>
        <w:t>2</w:t>
      </w:r>
      <w:r w:rsidRPr="005625CF">
        <w:rPr>
          <w:rFonts w:ascii="Calibri" w:eastAsia="Calibri" w:hAnsi="Calibri" w:cs="Calibri"/>
        </w:rPr>
        <w:t xml:space="preserve"> </w:t>
      </w:r>
      <w:r w:rsidR="00716A5C">
        <w:rPr>
          <w:rFonts w:ascii="Calibri" w:eastAsia="Calibri" w:hAnsi="Calibri" w:cs="Calibri"/>
        </w:rPr>
        <w:t>gradskog cestovnog prometa</w:t>
      </w:r>
      <w:r w:rsidRPr="005625CF">
        <w:rPr>
          <w:rFonts w:ascii="Calibri" w:eastAsia="Calibri" w:hAnsi="Calibri" w:cs="Calibri"/>
        </w:rPr>
        <w:t>.</w:t>
      </w:r>
    </w:p>
    <w:p w14:paraId="7B634701" w14:textId="6248036A" w:rsidR="00FC5348" w:rsidRDefault="00C83D0B" w:rsidP="00C83D0B">
      <w:pPr>
        <w:rPr>
          <w:rFonts w:ascii="Calibri" w:eastAsia="Calibri" w:hAnsi="Calibri" w:cs="Calibri"/>
          <w:szCs w:val="22"/>
        </w:rPr>
      </w:pPr>
      <w:r w:rsidRPr="00946AE9">
        <w:rPr>
          <w:rFonts w:ascii="Calibri" w:eastAsia="Calibri" w:hAnsi="Calibri" w:cs="Calibri"/>
          <w:szCs w:val="22"/>
        </w:rPr>
        <w:t>Za proračun emisije uslijed izgaranja i ishlapljivanja goriva iz sektora prometa korišten je programski paket COPERT III, razvijen od strane EEA (European Environmental Agency)</w:t>
      </w:r>
      <w:r w:rsidR="00F5010A">
        <w:rPr>
          <w:rFonts w:ascii="Calibri" w:eastAsia="Calibri" w:hAnsi="Calibri" w:cs="Calibri"/>
          <w:szCs w:val="22"/>
        </w:rPr>
        <w:t>,</w:t>
      </w:r>
      <w:r w:rsidRPr="00946AE9">
        <w:rPr>
          <w:rFonts w:ascii="Calibri" w:eastAsia="Calibri" w:hAnsi="Calibri" w:cs="Calibri"/>
          <w:szCs w:val="22"/>
        </w:rPr>
        <w:t xml:space="preserve"> u sklopu EMEP/CORINAIR metodologije. </w:t>
      </w:r>
    </w:p>
    <w:p w14:paraId="6C2D6A92" w14:textId="77F79C75" w:rsidR="001F2608" w:rsidRPr="001F2608" w:rsidRDefault="001F2608" w:rsidP="00535DE0">
      <w:pPr>
        <w:pStyle w:val="Opisslike"/>
      </w:pPr>
      <w:r w:rsidRPr="001F2608">
        <w:t xml:space="preserve">Tablica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Tablica \* ARABIC </w:instrText>
      </w:r>
      <w:r w:rsidR="00482BED">
        <w:rPr>
          <w:noProof/>
        </w:rPr>
        <w:fldChar w:fldCharType="separate"/>
      </w:r>
      <w:r w:rsidR="00535DE0">
        <w:rPr>
          <w:noProof/>
        </w:rPr>
        <w:t>4</w:t>
      </w:r>
      <w:r w:rsidR="00482BED">
        <w:rPr>
          <w:noProof/>
        </w:rPr>
        <w:fldChar w:fldCharType="end"/>
      </w:r>
      <w:r w:rsidRPr="001F2608">
        <w:t xml:space="preserve">: Potrošnja </w:t>
      </w:r>
      <w:r w:rsidR="00722C01">
        <w:t xml:space="preserve">energije prema vrsti </w:t>
      </w:r>
      <w:r w:rsidRPr="001F2608">
        <w:t xml:space="preserve">goriva </w:t>
      </w:r>
      <w:r w:rsidR="00722C01">
        <w:t xml:space="preserve">u </w:t>
      </w:r>
      <w:r w:rsidRPr="001F2608">
        <w:t>sektor</w:t>
      </w:r>
      <w:r w:rsidR="00722C01">
        <w:t>u</w:t>
      </w:r>
      <w:r w:rsidRPr="001F2608">
        <w:t xml:space="preserve"> prometa Grada </w:t>
      </w:r>
      <w:r w:rsidR="006B25A1">
        <w:t>Zadra u 2010</w:t>
      </w:r>
      <w:r w:rsidRPr="001F2608">
        <w:t>. godini</w:t>
      </w:r>
    </w:p>
    <w:tbl>
      <w:tblPr>
        <w:tblStyle w:val="GridTable4-Accent31"/>
        <w:tblW w:w="0" w:type="auto"/>
        <w:jc w:val="center"/>
        <w:tblLook w:val="04A0" w:firstRow="1" w:lastRow="0" w:firstColumn="1" w:lastColumn="0" w:noHBand="0" w:noVBand="1"/>
      </w:tblPr>
      <w:tblGrid>
        <w:gridCol w:w="1816"/>
        <w:gridCol w:w="1503"/>
        <w:gridCol w:w="1503"/>
        <w:gridCol w:w="1503"/>
        <w:gridCol w:w="1503"/>
        <w:gridCol w:w="1503"/>
      </w:tblGrid>
      <w:tr w:rsidR="001F2608" w:rsidRPr="00823EAD" w14:paraId="29F60263" w14:textId="77777777" w:rsidTr="00823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 w:val="restart"/>
            <w:vAlign w:val="center"/>
          </w:tcPr>
          <w:p w14:paraId="255E4A5E" w14:textId="77777777" w:rsidR="001F2608" w:rsidRPr="00823EAD" w:rsidRDefault="001F2608" w:rsidP="00823EAD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>Sektor</w:t>
            </w:r>
          </w:p>
        </w:tc>
        <w:tc>
          <w:tcPr>
            <w:tcW w:w="1503" w:type="dxa"/>
            <w:vMerge w:val="restart"/>
            <w:vAlign w:val="center"/>
          </w:tcPr>
          <w:p w14:paraId="2D57BE35" w14:textId="77777777" w:rsidR="001F2608" w:rsidRPr="00823EAD" w:rsidRDefault="001F2608" w:rsidP="00823E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>Broj vozila</w:t>
            </w:r>
          </w:p>
        </w:tc>
        <w:tc>
          <w:tcPr>
            <w:tcW w:w="6012" w:type="dxa"/>
            <w:gridSpan w:val="4"/>
            <w:vAlign w:val="center"/>
          </w:tcPr>
          <w:p w14:paraId="1A28CABA" w14:textId="553DE525" w:rsidR="001F2608" w:rsidRPr="00823EAD" w:rsidRDefault="001F2608" w:rsidP="00716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 xml:space="preserve">Potrošnja </w:t>
            </w:r>
            <w:r w:rsidR="00716A5C">
              <w:rPr>
                <w:rFonts w:ascii="Calibri" w:hAnsi="Calibri" w:cs="Calibri"/>
                <w:sz w:val="20"/>
                <w:lang w:val="hr-HR"/>
              </w:rPr>
              <w:t>energije</w:t>
            </w:r>
            <w:r w:rsidR="00716A5C" w:rsidRPr="00823EAD">
              <w:rPr>
                <w:rFonts w:ascii="Calibri" w:hAnsi="Calibri" w:cs="Calibri"/>
                <w:sz w:val="20"/>
                <w:lang w:val="hr-HR"/>
              </w:rPr>
              <w:t xml:space="preserve">  </w:t>
            </w:r>
            <w:r w:rsidRPr="00823EAD">
              <w:rPr>
                <w:rFonts w:ascii="Calibri" w:hAnsi="Calibri" w:cs="Calibri"/>
                <w:sz w:val="20"/>
                <w:lang w:val="hr-HR"/>
              </w:rPr>
              <w:t>(MWh)</w:t>
            </w:r>
          </w:p>
        </w:tc>
      </w:tr>
      <w:tr w:rsidR="001F2608" w:rsidRPr="00823EAD" w14:paraId="54A237B4" w14:textId="77777777" w:rsidTr="00823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Merge/>
            <w:vAlign w:val="center"/>
          </w:tcPr>
          <w:p w14:paraId="5DC64802" w14:textId="77777777" w:rsidR="001F2608" w:rsidRPr="00823EAD" w:rsidRDefault="001F2608" w:rsidP="00823EAD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1503" w:type="dxa"/>
            <w:vMerge/>
            <w:vAlign w:val="center"/>
          </w:tcPr>
          <w:p w14:paraId="1AC56FD6" w14:textId="77777777" w:rsidR="001F2608" w:rsidRPr="00823EAD" w:rsidRDefault="001F2608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1503" w:type="dxa"/>
            <w:vAlign w:val="center"/>
          </w:tcPr>
          <w:p w14:paraId="236028EE" w14:textId="77777777" w:rsidR="001F2608" w:rsidRPr="00B30B40" w:rsidRDefault="001F2608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sz w:val="20"/>
                <w:lang w:val="hr-HR"/>
              </w:rPr>
              <w:t>Benzin</w:t>
            </w:r>
          </w:p>
        </w:tc>
        <w:tc>
          <w:tcPr>
            <w:tcW w:w="1503" w:type="dxa"/>
            <w:vAlign w:val="center"/>
          </w:tcPr>
          <w:p w14:paraId="3B0EF12D" w14:textId="77777777" w:rsidR="001F2608" w:rsidRPr="00B30B40" w:rsidRDefault="001F2608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sz w:val="20"/>
                <w:lang w:val="hr-HR"/>
              </w:rPr>
              <w:t>Dizel</w:t>
            </w:r>
          </w:p>
        </w:tc>
        <w:tc>
          <w:tcPr>
            <w:tcW w:w="1503" w:type="dxa"/>
            <w:vAlign w:val="center"/>
          </w:tcPr>
          <w:p w14:paraId="47472676" w14:textId="77777777" w:rsidR="001F2608" w:rsidRPr="00B30B40" w:rsidRDefault="001F2608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sz w:val="20"/>
                <w:lang w:val="hr-HR"/>
              </w:rPr>
              <w:t>UNP</w:t>
            </w:r>
          </w:p>
        </w:tc>
        <w:tc>
          <w:tcPr>
            <w:tcW w:w="1503" w:type="dxa"/>
            <w:vAlign w:val="center"/>
          </w:tcPr>
          <w:p w14:paraId="0F9B51EA" w14:textId="77777777" w:rsidR="001F2608" w:rsidRPr="00823EAD" w:rsidRDefault="001F2608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b/>
                <w:sz w:val="20"/>
                <w:lang w:val="hr-HR"/>
              </w:rPr>
              <w:t>Ukupno</w:t>
            </w:r>
          </w:p>
        </w:tc>
      </w:tr>
      <w:tr w:rsidR="001F2608" w:rsidRPr="00823EAD" w14:paraId="48989132" w14:textId="77777777" w:rsidTr="00823EAD">
        <w:trPr>
          <w:trHeight w:hRule="exact"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6E3FC8FB" w14:textId="6AC89777" w:rsidR="001F2608" w:rsidRPr="00B30B40" w:rsidRDefault="001F2608" w:rsidP="00716A5C">
            <w:pPr>
              <w:jc w:val="center"/>
              <w:rPr>
                <w:rFonts w:ascii="Calibri" w:hAnsi="Calibri" w:cs="Calibri"/>
                <w:b w:val="0"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b w:val="0"/>
                <w:sz w:val="20"/>
                <w:lang w:val="hr-HR"/>
              </w:rPr>
              <w:t xml:space="preserve">Vozila </w:t>
            </w:r>
            <w:r w:rsidR="00716A5C" w:rsidRPr="00B30B40">
              <w:rPr>
                <w:rFonts w:ascii="Calibri" w:hAnsi="Calibri" w:cs="Calibri"/>
                <w:b w:val="0"/>
                <w:sz w:val="20"/>
                <w:lang w:val="hr-HR"/>
              </w:rPr>
              <w:t>Gradske uprave i Gradskih ustanova/poduzeća</w:t>
            </w:r>
          </w:p>
        </w:tc>
        <w:tc>
          <w:tcPr>
            <w:tcW w:w="1503" w:type="dxa"/>
            <w:vAlign w:val="center"/>
          </w:tcPr>
          <w:p w14:paraId="200E4829" w14:textId="668DD956" w:rsidR="001F2608" w:rsidRPr="00823EAD" w:rsidRDefault="00823EAD" w:rsidP="00823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>252</w:t>
            </w:r>
          </w:p>
        </w:tc>
        <w:tc>
          <w:tcPr>
            <w:tcW w:w="1503" w:type="dxa"/>
            <w:vAlign w:val="center"/>
          </w:tcPr>
          <w:p w14:paraId="5EF313DA" w14:textId="5AC28A5A" w:rsidR="001F2608" w:rsidRPr="00823EAD" w:rsidRDefault="00823EAD" w:rsidP="00823E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AD">
              <w:rPr>
                <w:rFonts w:ascii="Calibri" w:hAnsi="Calibri" w:cs="Calibri"/>
                <w:color w:val="000000"/>
                <w:sz w:val="20"/>
              </w:rPr>
              <w:t>1</w:t>
            </w:r>
            <w:r w:rsidR="00C148DE">
              <w:rPr>
                <w:rFonts w:ascii="Calibri" w:hAnsi="Calibri" w:cs="Calibri"/>
                <w:color w:val="000000"/>
                <w:sz w:val="20"/>
              </w:rPr>
              <w:t>.</w:t>
            </w:r>
            <w:r w:rsidR="0070125E">
              <w:rPr>
                <w:rFonts w:ascii="Calibri" w:hAnsi="Calibri" w:cs="Calibri"/>
                <w:color w:val="000000"/>
                <w:sz w:val="20"/>
              </w:rPr>
              <w:t>083</w:t>
            </w:r>
          </w:p>
        </w:tc>
        <w:tc>
          <w:tcPr>
            <w:tcW w:w="1503" w:type="dxa"/>
            <w:vAlign w:val="center"/>
          </w:tcPr>
          <w:p w14:paraId="2E4D6C8F" w14:textId="2F4F6943" w:rsidR="001F2608" w:rsidRPr="00823EAD" w:rsidRDefault="0070125E" w:rsidP="00722C0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3.403</w:t>
            </w:r>
          </w:p>
        </w:tc>
        <w:tc>
          <w:tcPr>
            <w:tcW w:w="1503" w:type="dxa"/>
            <w:vAlign w:val="center"/>
          </w:tcPr>
          <w:p w14:paraId="6B4A8609" w14:textId="55DAE6F1" w:rsidR="001F2608" w:rsidRPr="00823EAD" w:rsidRDefault="0070125E" w:rsidP="00C148D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28</w:t>
            </w:r>
          </w:p>
        </w:tc>
        <w:tc>
          <w:tcPr>
            <w:tcW w:w="1503" w:type="dxa"/>
            <w:vAlign w:val="center"/>
          </w:tcPr>
          <w:p w14:paraId="2504EA2D" w14:textId="2B2CA2FB" w:rsidR="001F2608" w:rsidRPr="00823EAD" w:rsidRDefault="0070125E" w:rsidP="007012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4.514</w:t>
            </w:r>
          </w:p>
        </w:tc>
      </w:tr>
      <w:tr w:rsidR="001F2608" w:rsidRPr="00823EAD" w14:paraId="7EB09491" w14:textId="77777777" w:rsidTr="00823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200704A1" w14:textId="77777777" w:rsidR="001F2608" w:rsidRPr="00B30B40" w:rsidRDefault="001F2608" w:rsidP="00823EAD">
            <w:pPr>
              <w:jc w:val="center"/>
              <w:rPr>
                <w:rFonts w:ascii="Calibri" w:hAnsi="Calibri" w:cs="Calibri"/>
                <w:b w:val="0"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b w:val="0"/>
                <w:sz w:val="20"/>
                <w:lang w:val="hr-HR"/>
              </w:rPr>
              <w:t>Javni prijevoz</w:t>
            </w:r>
          </w:p>
        </w:tc>
        <w:tc>
          <w:tcPr>
            <w:tcW w:w="1503" w:type="dxa"/>
            <w:vAlign w:val="center"/>
          </w:tcPr>
          <w:p w14:paraId="484969AE" w14:textId="08C09BBF" w:rsidR="001F2608" w:rsidRPr="00823EAD" w:rsidRDefault="00715F96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105</w:t>
            </w:r>
          </w:p>
        </w:tc>
        <w:tc>
          <w:tcPr>
            <w:tcW w:w="1503" w:type="dxa"/>
            <w:vAlign w:val="center"/>
          </w:tcPr>
          <w:p w14:paraId="43682635" w14:textId="71B0E897" w:rsidR="001F2608" w:rsidRPr="00823EAD" w:rsidRDefault="00823EAD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>/</w:t>
            </w:r>
          </w:p>
        </w:tc>
        <w:tc>
          <w:tcPr>
            <w:tcW w:w="1503" w:type="dxa"/>
            <w:vAlign w:val="center"/>
          </w:tcPr>
          <w:p w14:paraId="0D8E8B9C" w14:textId="0E6D64B6" w:rsidR="001F2608" w:rsidRPr="00823EAD" w:rsidRDefault="00823EAD" w:rsidP="00722C0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color w:val="000000"/>
                <w:sz w:val="20"/>
              </w:rPr>
              <w:t>16</w:t>
            </w:r>
            <w:r w:rsidR="00C148DE">
              <w:rPr>
                <w:rFonts w:ascii="Calibri" w:hAnsi="Calibri" w:cs="Calibri"/>
                <w:color w:val="000000"/>
                <w:sz w:val="20"/>
              </w:rPr>
              <w:t>.</w:t>
            </w:r>
            <w:r w:rsidR="0070125E">
              <w:rPr>
                <w:rFonts w:ascii="Calibri" w:hAnsi="Calibri" w:cs="Calibri"/>
                <w:color w:val="000000"/>
                <w:sz w:val="20"/>
              </w:rPr>
              <w:t>436</w:t>
            </w:r>
          </w:p>
        </w:tc>
        <w:tc>
          <w:tcPr>
            <w:tcW w:w="1503" w:type="dxa"/>
            <w:vAlign w:val="center"/>
          </w:tcPr>
          <w:p w14:paraId="308E96AC" w14:textId="6B40F6E0" w:rsidR="001F2608" w:rsidRPr="00823EAD" w:rsidRDefault="0070125E" w:rsidP="00722C0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36</w:t>
            </w:r>
          </w:p>
        </w:tc>
        <w:tc>
          <w:tcPr>
            <w:tcW w:w="1503" w:type="dxa"/>
            <w:vAlign w:val="center"/>
          </w:tcPr>
          <w:p w14:paraId="69370465" w14:textId="75092D47" w:rsidR="001F2608" w:rsidRPr="00823EAD" w:rsidRDefault="00823EAD" w:rsidP="007012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b/>
                <w:color w:val="000000"/>
                <w:sz w:val="20"/>
              </w:rPr>
              <w:t>16</w:t>
            </w:r>
            <w:r w:rsidR="00C148DE">
              <w:rPr>
                <w:rFonts w:ascii="Calibri" w:hAnsi="Calibri" w:cs="Calibri"/>
                <w:b/>
                <w:color w:val="000000"/>
                <w:sz w:val="20"/>
              </w:rPr>
              <w:t>.</w:t>
            </w:r>
            <w:r w:rsidRPr="00823EAD">
              <w:rPr>
                <w:rFonts w:ascii="Calibri" w:hAnsi="Calibri" w:cs="Calibri"/>
                <w:b/>
                <w:color w:val="000000"/>
                <w:sz w:val="20"/>
              </w:rPr>
              <w:t>47</w:t>
            </w:r>
            <w:r w:rsidR="0070125E"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</w:tr>
      <w:tr w:rsidR="001F2608" w:rsidRPr="00823EAD" w14:paraId="7C440C5F" w14:textId="77777777" w:rsidTr="00722C01">
        <w:trPr>
          <w:trHeight w:hRule="exact"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574084DF" w14:textId="18F67F00" w:rsidR="001F2608" w:rsidRPr="00B30B40" w:rsidRDefault="00716A5C" w:rsidP="00823EAD">
            <w:pPr>
              <w:jc w:val="center"/>
              <w:rPr>
                <w:rFonts w:ascii="Calibri" w:hAnsi="Calibri" w:cs="Calibri"/>
                <w:b w:val="0"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b w:val="0"/>
                <w:sz w:val="20"/>
                <w:lang w:val="hr-HR"/>
              </w:rPr>
              <w:t>Gradski cestovni promet</w:t>
            </w:r>
          </w:p>
        </w:tc>
        <w:tc>
          <w:tcPr>
            <w:tcW w:w="1503" w:type="dxa"/>
            <w:vAlign w:val="center"/>
          </w:tcPr>
          <w:p w14:paraId="61364523" w14:textId="14AD6AA8" w:rsidR="001F2608" w:rsidRPr="00823EAD" w:rsidRDefault="00823EAD" w:rsidP="008446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722C01">
              <w:rPr>
                <w:rFonts w:ascii="Calibri" w:hAnsi="Calibri" w:cs="Calibri"/>
                <w:color w:val="000000"/>
                <w:sz w:val="20"/>
              </w:rPr>
              <w:t>3</w:t>
            </w:r>
            <w:r w:rsidR="001D5AB3" w:rsidRPr="00722C01">
              <w:rPr>
                <w:rFonts w:ascii="Calibri" w:hAnsi="Calibri" w:cs="Calibri"/>
                <w:color w:val="000000"/>
                <w:sz w:val="20"/>
              </w:rPr>
              <w:t>4</w:t>
            </w:r>
            <w:r w:rsidRPr="00722C01">
              <w:rPr>
                <w:rFonts w:ascii="Calibri" w:hAnsi="Calibri" w:cs="Calibri"/>
                <w:color w:val="000000"/>
                <w:sz w:val="20"/>
              </w:rPr>
              <w:t>.6</w:t>
            </w:r>
            <w:r w:rsidR="001D5AB3" w:rsidRPr="00722C01">
              <w:rPr>
                <w:rFonts w:ascii="Calibri" w:hAnsi="Calibri" w:cs="Calibri"/>
                <w:color w:val="000000"/>
                <w:sz w:val="20"/>
              </w:rPr>
              <w:t>54</w:t>
            </w:r>
          </w:p>
        </w:tc>
        <w:tc>
          <w:tcPr>
            <w:tcW w:w="1503" w:type="dxa"/>
            <w:vAlign w:val="center"/>
          </w:tcPr>
          <w:p w14:paraId="7A073FA8" w14:textId="710A32E5" w:rsidR="001F2608" w:rsidRPr="00722C01" w:rsidRDefault="0070125E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sz w:val="20"/>
              </w:rPr>
              <w:t>223.972</w:t>
            </w:r>
          </w:p>
        </w:tc>
        <w:tc>
          <w:tcPr>
            <w:tcW w:w="1503" w:type="dxa"/>
            <w:vAlign w:val="center"/>
          </w:tcPr>
          <w:p w14:paraId="0321F81C" w14:textId="5B1A3658" w:rsidR="001F2608" w:rsidRPr="00722C01" w:rsidRDefault="00722C01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722C01">
              <w:rPr>
                <w:rFonts w:ascii="Calibri" w:hAnsi="Calibri" w:cs="Calibri"/>
                <w:sz w:val="20"/>
              </w:rPr>
              <w:t>155</w:t>
            </w:r>
            <w:r>
              <w:rPr>
                <w:rFonts w:ascii="Calibri" w:hAnsi="Calibri" w:cs="Calibri"/>
                <w:sz w:val="20"/>
              </w:rPr>
              <w:t>.</w:t>
            </w:r>
            <w:r w:rsidR="0070125E">
              <w:rPr>
                <w:rFonts w:ascii="Calibri" w:hAnsi="Calibri" w:cs="Calibri"/>
                <w:sz w:val="20"/>
              </w:rPr>
              <w:t>222</w:t>
            </w:r>
          </w:p>
        </w:tc>
        <w:tc>
          <w:tcPr>
            <w:tcW w:w="1503" w:type="dxa"/>
            <w:vAlign w:val="center"/>
          </w:tcPr>
          <w:p w14:paraId="49380930" w14:textId="102EEE3B" w:rsidR="001F2608" w:rsidRPr="00823EAD" w:rsidRDefault="00823EAD" w:rsidP="0070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>1</w:t>
            </w:r>
            <w:r w:rsidR="00B7171B">
              <w:rPr>
                <w:rFonts w:ascii="Calibri" w:hAnsi="Calibri" w:cs="Calibri"/>
                <w:sz w:val="20"/>
                <w:lang w:val="hr-HR"/>
              </w:rPr>
              <w:t>.</w:t>
            </w:r>
            <w:r w:rsidRPr="00823EAD">
              <w:rPr>
                <w:rFonts w:ascii="Calibri" w:hAnsi="Calibri" w:cs="Calibri"/>
                <w:sz w:val="20"/>
                <w:lang w:val="hr-HR"/>
              </w:rPr>
              <w:t>0</w:t>
            </w:r>
            <w:r w:rsidR="0070125E">
              <w:rPr>
                <w:rFonts w:ascii="Calibri" w:hAnsi="Calibri" w:cs="Calibri"/>
                <w:sz w:val="20"/>
                <w:lang w:val="hr-HR"/>
              </w:rPr>
              <w:t>00</w:t>
            </w:r>
          </w:p>
        </w:tc>
        <w:tc>
          <w:tcPr>
            <w:tcW w:w="1503" w:type="dxa"/>
            <w:vAlign w:val="center"/>
          </w:tcPr>
          <w:p w14:paraId="05C54711" w14:textId="37A90DEE" w:rsidR="001F2608" w:rsidRPr="00823EAD" w:rsidRDefault="00823EAD" w:rsidP="00722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b/>
                <w:sz w:val="20"/>
                <w:lang w:val="hr-HR"/>
              </w:rPr>
              <w:t>380</w:t>
            </w:r>
            <w:r w:rsidR="0070125E">
              <w:rPr>
                <w:rFonts w:ascii="Calibri" w:hAnsi="Calibri" w:cs="Calibri"/>
                <w:b/>
                <w:sz w:val="20"/>
                <w:lang w:val="hr-HR"/>
              </w:rPr>
              <w:t>.194</w:t>
            </w:r>
          </w:p>
        </w:tc>
      </w:tr>
      <w:tr w:rsidR="001F2608" w:rsidRPr="00823EAD" w14:paraId="241D623F" w14:textId="77777777" w:rsidTr="00722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599B975D" w14:textId="77777777" w:rsidR="001F2608" w:rsidRPr="00823EAD" w:rsidRDefault="001F2608" w:rsidP="00823EAD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823EAD">
              <w:rPr>
                <w:rFonts w:ascii="Calibri" w:hAnsi="Calibri" w:cs="Calibri"/>
                <w:sz w:val="20"/>
                <w:lang w:val="hr-HR"/>
              </w:rPr>
              <w:t>UKUPNO</w:t>
            </w:r>
          </w:p>
        </w:tc>
        <w:tc>
          <w:tcPr>
            <w:tcW w:w="1503" w:type="dxa"/>
            <w:vAlign w:val="center"/>
          </w:tcPr>
          <w:p w14:paraId="410AB88E" w14:textId="1DD1AF0F" w:rsidR="001F2608" w:rsidRPr="00823EAD" w:rsidRDefault="00B30B40" w:rsidP="0082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>
              <w:rPr>
                <w:rFonts w:ascii="Calibri" w:hAnsi="Calibri" w:cs="Calibri"/>
                <w:b/>
                <w:sz w:val="20"/>
                <w:lang w:val="hr-HR"/>
              </w:rPr>
              <w:t>35.011</w:t>
            </w:r>
          </w:p>
        </w:tc>
        <w:tc>
          <w:tcPr>
            <w:tcW w:w="1503" w:type="dxa"/>
          </w:tcPr>
          <w:p w14:paraId="5356FD65" w14:textId="0F06C6C5" w:rsidR="001F2608" w:rsidRPr="00B30B40" w:rsidRDefault="00823EAD" w:rsidP="00722C0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b/>
                <w:color w:val="000000"/>
                <w:sz w:val="20"/>
              </w:rPr>
              <w:t>225</w:t>
            </w:r>
            <w:r w:rsidR="00B7171B" w:rsidRPr="00B30B40">
              <w:rPr>
                <w:rFonts w:ascii="Calibri" w:hAnsi="Calibri" w:cs="Calibri"/>
                <w:b/>
                <w:color w:val="000000"/>
                <w:sz w:val="20"/>
              </w:rPr>
              <w:t>.</w:t>
            </w:r>
            <w:r w:rsidR="0070125E">
              <w:rPr>
                <w:rFonts w:ascii="Calibri" w:hAnsi="Calibri" w:cs="Calibri"/>
                <w:b/>
                <w:color w:val="000000"/>
                <w:sz w:val="20"/>
              </w:rPr>
              <w:t>055</w:t>
            </w:r>
          </w:p>
        </w:tc>
        <w:tc>
          <w:tcPr>
            <w:tcW w:w="1503" w:type="dxa"/>
          </w:tcPr>
          <w:p w14:paraId="4B43F56A" w14:textId="65BEA7F7" w:rsidR="001F2608" w:rsidRPr="00B30B40" w:rsidRDefault="00823EAD" w:rsidP="00722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b/>
                <w:sz w:val="20"/>
                <w:lang w:val="hr-HR"/>
              </w:rPr>
              <w:t>175</w:t>
            </w:r>
            <w:r w:rsidR="00B7171B" w:rsidRPr="00B30B40">
              <w:rPr>
                <w:rFonts w:ascii="Calibri" w:hAnsi="Calibri" w:cs="Calibri"/>
                <w:b/>
                <w:sz w:val="20"/>
                <w:lang w:val="hr-HR"/>
              </w:rPr>
              <w:t>.</w:t>
            </w:r>
            <w:r w:rsidR="0070125E">
              <w:rPr>
                <w:rFonts w:ascii="Calibri" w:hAnsi="Calibri" w:cs="Calibri"/>
                <w:b/>
                <w:sz w:val="20"/>
                <w:lang w:val="hr-HR"/>
              </w:rPr>
              <w:t>061</w:t>
            </w:r>
          </w:p>
        </w:tc>
        <w:tc>
          <w:tcPr>
            <w:tcW w:w="1503" w:type="dxa"/>
          </w:tcPr>
          <w:p w14:paraId="092AC8AA" w14:textId="2EAB69C1" w:rsidR="001F2608" w:rsidRPr="00B30B40" w:rsidRDefault="00823EAD" w:rsidP="007012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B30B40"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  <w:r w:rsidR="00B7171B" w:rsidRPr="00B30B40">
              <w:rPr>
                <w:rFonts w:ascii="Calibri" w:hAnsi="Calibri" w:cs="Calibri"/>
                <w:b/>
                <w:color w:val="000000"/>
                <w:sz w:val="20"/>
              </w:rPr>
              <w:t>.</w:t>
            </w:r>
            <w:r w:rsidR="0070125E">
              <w:rPr>
                <w:rFonts w:ascii="Calibri" w:hAnsi="Calibri" w:cs="Calibri"/>
                <w:b/>
                <w:color w:val="000000"/>
                <w:sz w:val="20"/>
              </w:rPr>
              <w:t>064</w:t>
            </w:r>
          </w:p>
        </w:tc>
        <w:tc>
          <w:tcPr>
            <w:tcW w:w="1503" w:type="dxa"/>
          </w:tcPr>
          <w:p w14:paraId="4960DD7A" w14:textId="73EDE82D" w:rsidR="001F2608" w:rsidRPr="00823EAD" w:rsidRDefault="00722C01" w:rsidP="00722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722C01">
              <w:rPr>
                <w:rFonts w:ascii="Calibri" w:hAnsi="Calibri" w:cs="Calibri"/>
                <w:b/>
                <w:sz w:val="20"/>
                <w:lang w:val="hr-HR"/>
              </w:rPr>
              <w:t>401</w:t>
            </w:r>
            <w:r>
              <w:rPr>
                <w:rFonts w:ascii="Calibri" w:hAnsi="Calibri" w:cs="Calibri"/>
                <w:b/>
                <w:sz w:val="20"/>
                <w:lang w:val="hr-HR"/>
              </w:rPr>
              <w:t>.</w:t>
            </w:r>
            <w:r w:rsidR="0070125E">
              <w:rPr>
                <w:rFonts w:ascii="Calibri" w:hAnsi="Calibri" w:cs="Calibri"/>
                <w:b/>
                <w:sz w:val="20"/>
                <w:lang w:val="hr-HR"/>
              </w:rPr>
              <w:t>180</w:t>
            </w:r>
          </w:p>
        </w:tc>
      </w:tr>
    </w:tbl>
    <w:p w14:paraId="5CED71DB" w14:textId="007922D8" w:rsidR="001F2608" w:rsidRPr="00946AE9" w:rsidRDefault="001F2608" w:rsidP="00C83D0B">
      <w:pPr>
        <w:rPr>
          <w:rFonts w:ascii="Calibri" w:eastAsia="Calibri" w:hAnsi="Calibri" w:cs="Calibri"/>
          <w:szCs w:val="22"/>
        </w:rPr>
      </w:pPr>
    </w:p>
    <w:p w14:paraId="2AA7F9F6" w14:textId="46352D71" w:rsidR="00C83D0B" w:rsidRPr="00946AE9" w:rsidRDefault="00C83D0B" w:rsidP="00C83D0B">
      <w:pPr>
        <w:rPr>
          <w:rFonts w:ascii="Calibri" w:eastAsia="Calibri" w:hAnsi="Calibri" w:cs="Calibri"/>
          <w:szCs w:val="22"/>
        </w:rPr>
      </w:pPr>
      <w:r w:rsidRPr="00946AE9">
        <w:rPr>
          <w:rFonts w:ascii="Calibri" w:eastAsia="Calibri" w:hAnsi="Calibri" w:cs="Calibri"/>
          <w:szCs w:val="22"/>
        </w:rPr>
        <w:t xml:space="preserve">Vozni park </w:t>
      </w:r>
      <w:r w:rsidR="008446FD">
        <w:rPr>
          <w:rFonts w:ascii="Calibri" w:eastAsia="Calibri" w:hAnsi="Calibri" w:cs="Calibri"/>
          <w:szCs w:val="22"/>
        </w:rPr>
        <w:t>Gradske uprave i Gradskih ustanova/poduzeća</w:t>
      </w:r>
      <w:r w:rsidRPr="00946AE9">
        <w:rPr>
          <w:rFonts w:ascii="Calibri" w:eastAsia="Calibri" w:hAnsi="Calibri" w:cs="Calibri"/>
          <w:szCs w:val="22"/>
        </w:rPr>
        <w:t xml:space="preserve"> sastoji se od </w:t>
      </w:r>
      <w:r w:rsidR="003C703F">
        <w:rPr>
          <w:rFonts w:ascii="Calibri" w:eastAsia="Calibri" w:hAnsi="Calibri" w:cs="Calibri"/>
          <w:szCs w:val="22"/>
        </w:rPr>
        <w:t>71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8446FD">
        <w:rPr>
          <w:rFonts w:ascii="Calibri" w:eastAsia="Calibri" w:hAnsi="Calibri" w:cs="Calibri"/>
          <w:szCs w:val="22"/>
        </w:rPr>
        <w:t>osobnog vozila</w:t>
      </w:r>
      <w:r w:rsidRPr="00946AE9">
        <w:rPr>
          <w:rFonts w:ascii="Calibri" w:eastAsia="Calibri" w:hAnsi="Calibri" w:cs="Calibri"/>
          <w:szCs w:val="22"/>
        </w:rPr>
        <w:t xml:space="preserve">, </w:t>
      </w:r>
      <w:r w:rsidR="003C703F">
        <w:rPr>
          <w:rFonts w:ascii="Calibri" w:eastAsia="Calibri" w:hAnsi="Calibri" w:cs="Calibri"/>
          <w:szCs w:val="22"/>
        </w:rPr>
        <w:t>36 kombiniranih</w:t>
      </w:r>
      <w:r w:rsidRPr="00946AE9">
        <w:rPr>
          <w:rFonts w:ascii="Calibri" w:eastAsia="Calibri" w:hAnsi="Calibri" w:cs="Calibri"/>
          <w:szCs w:val="22"/>
        </w:rPr>
        <w:t xml:space="preserve"> vozila</w:t>
      </w:r>
      <w:r w:rsidR="003C703F">
        <w:rPr>
          <w:rFonts w:ascii="Calibri" w:eastAsia="Calibri" w:hAnsi="Calibri" w:cs="Calibri"/>
          <w:szCs w:val="22"/>
        </w:rPr>
        <w:t>,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3C703F">
        <w:rPr>
          <w:rFonts w:ascii="Calibri" w:eastAsia="Calibri" w:hAnsi="Calibri" w:cs="Calibri"/>
          <w:szCs w:val="22"/>
        </w:rPr>
        <w:t>143 radna i teretna</w:t>
      </w:r>
      <w:r w:rsidRPr="00946AE9">
        <w:rPr>
          <w:rFonts w:ascii="Calibri" w:eastAsia="Calibri" w:hAnsi="Calibri" w:cs="Calibri"/>
          <w:szCs w:val="22"/>
        </w:rPr>
        <w:t xml:space="preserve"> vozila</w:t>
      </w:r>
      <w:r w:rsidR="003C703F">
        <w:rPr>
          <w:rFonts w:ascii="Calibri" w:eastAsia="Calibri" w:hAnsi="Calibri" w:cs="Calibri"/>
          <w:szCs w:val="22"/>
        </w:rPr>
        <w:t xml:space="preserve"> te 2 mopeda</w:t>
      </w:r>
      <w:r w:rsidRPr="00946AE9">
        <w:rPr>
          <w:rFonts w:ascii="Calibri" w:eastAsia="Calibri" w:hAnsi="Calibri" w:cs="Calibri"/>
          <w:szCs w:val="22"/>
        </w:rPr>
        <w:t xml:space="preserve">. Javni prijevoz Grada </w:t>
      </w:r>
      <w:r w:rsidR="003C703F">
        <w:rPr>
          <w:rFonts w:ascii="Calibri" w:eastAsia="Calibri" w:hAnsi="Calibri" w:cs="Calibri"/>
          <w:szCs w:val="22"/>
        </w:rPr>
        <w:t>Zadra</w:t>
      </w:r>
      <w:r w:rsidRPr="00946AE9">
        <w:rPr>
          <w:rFonts w:ascii="Calibri" w:eastAsia="Calibri" w:hAnsi="Calibri" w:cs="Calibri"/>
          <w:szCs w:val="22"/>
        </w:rPr>
        <w:t xml:space="preserve"> obuhvaća emisije iz gradskog autobusnog prijevoza</w:t>
      </w:r>
      <w:r w:rsidR="003C703F">
        <w:rPr>
          <w:rFonts w:ascii="Calibri" w:eastAsia="Calibri" w:hAnsi="Calibri" w:cs="Calibri"/>
          <w:szCs w:val="22"/>
        </w:rPr>
        <w:t xml:space="preserve"> i taksi prijevoza</w:t>
      </w:r>
      <w:r w:rsidRPr="00946AE9">
        <w:rPr>
          <w:rFonts w:ascii="Calibri" w:eastAsia="Calibri" w:hAnsi="Calibri" w:cs="Calibri"/>
          <w:szCs w:val="22"/>
        </w:rPr>
        <w:t>. Gradski autobusi kao gorivo koriste isključivo dizel</w:t>
      </w:r>
      <w:r w:rsidR="00CA60CE">
        <w:rPr>
          <w:rFonts w:ascii="Calibri" w:eastAsia="Calibri" w:hAnsi="Calibri" w:cs="Calibri"/>
          <w:szCs w:val="22"/>
        </w:rPr>
        <w:t>, dok taksi prijevoznici koriste dizel i plin</w:t>
      </w:r>
      <w:r w:rsidRPr="00946AE9">
        <w:rPr>
          <w:rFonts w:ascii="Calibri" w:eastAsia="Calibri" w:hAnsi="Calibri" w:cs="Calibri"/>
          <w:szCs w:val="22"/>
        </w:rPr>
        <w:t xml:space="preserve">. Podsektor </w:t>
      </w:r>
      <w:r w:rsidR="008446FD">
        <w:rPr>
          <w:rFonts w:ascii="Calibri" w:eastAsia="Calibri" w:hAnsi="Calibri" w:cs="Calibri"/>
          <w:szCs w:val="22"/>
        </w:rPr>
        <w:t>gradskog cestovnog prometa</w:t>
      </w:r>
      <w:r w:rsidRPr="00946AE9">
        <w:rPr>
          <w:rFonts w:ascii="Calibri" w:eastAsia="Calibri" w:hAnsi="Calibri" w:cs="Calibri"/>
          <w:szCs w:val="22"/>
        </w:rPr>
        <w:t xml:space="preserve"> čine sljedeće kategorije: osobna vozila, kombinirana</w:t>
      </w:r>
      <w:r w:rsidR="00CA60CE">
        <w:rPr>
          <w:rFonts w:ascii="Calibri" w:eastAsia="Calibri" w:hAnsi="Calibri" w:cs="Calibri"/>
          <w:szCs w:val="22"/>
        </w:rPr>
        <w:t xml:space="preserve"> vozila,</w:t>
      </w:r>
      <w:r w:rsidRPr="00946AE9">
        <w:rPr>
          <w:rFonts w:ascii="Calibri" w:eastAsia="Calibri" w:hAnsi="Calibri" w:cs="Calibri"/>
          <w:szCs w:val="22"/>
        </w:rPr>
        <w:t xml:space="preserve"> teretna</w:t>
      </w:r>
      <w:r w:rsidR="00CA60CE">
        <w:rPr>
          <w:rFonts w:ascii="Calibri" w:eastAsia="Calibri" w:hAnsi="Calibri" w:cs="Calibri"/>
          <w:szCs w:val="22"/>
        </w:rPr>
        <w:t xml:space="preserve"> i radna</w:t>
      </w:r>
      <w:r w:rsidRPr="00946AE9">
        <w:rPr>
          <w:rFonts w:ascii="Calibri" w:eastAsia="Calibri" w:hAnsi="Calibri" w:cs="Calibri"/>
          <w:szCs w:val="22"/>
        </w:rPr>
        <w:t xml:space="preserve"> vozila te mopedi i motocikli, pri čemu su kombinirana vozila pridružena kategoriji osobnih vozila.</w:t>
      </w:r>
    </w:p>
    <w:p w14:paraId="092D0AF1" w14:textId="093F6B9C" w:rsidR="00C83D0B" w:rsidRDefault="00C83D0B" w:rsidP="00C83D0B">
      <w:pPr>
        <w:rPr>
          <w:rFonts w:ascii="Calibri" w:eastAsia="Calibri" w:hAnsi="Calibri" w:cs="Calibri"/>
          <w:szCs w:val="22"/>
        </w:rPr>
      </w:pPr>
      <w:r w:rsidRPr="00946AE9">
        <w:rPr>
          <w:rFonts w:ascii="Calibri" w:eastAsia="Calibri" w:hAnsi="Calibri" w:cs="Calibri"/>
          <w:szCs w:val="22"/>
        </w:rPr>
        <w:t>Usporedba broja vozila i pripadajućih emisija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 xml:space="preserve"> za podsektore prometa u </w:t>
      </w:r>
      <w:r w:rsidR="00DA69B5">
        <w:rPr>
          <w:rFonts w:ascii="Calibri" w:eastAsia="Calibri" w:hAnsi="Calibri" w:cs="Calibri"/>
          <w:szCs w:val="22"/>
        </w:rPr>
        <w:t>G</w:t>
      </w:r>
      <w:r w:rsidRPr="00946AE9">
        <w:rPr>
          <w:rFonts w:ascii="Calibri" w:eastAsia="Calibri" w:hAnsi="Calibri" w:cs="Calibri"/>
          <w:szCs w:val="22"/>
        </w:rPr>
        <w:t xml:space="preserve">radu </w:t>
      </w:r>
      <w:r w:rsidR="00CA60CE">
        <w:rPr>
          <w:rFonts w:ascii="Calibri" w:eastAsia="Calibri" w:hAnsi="Calibri" w:cs="Calibri"/>
          <w:szCs w:val="22"/>
        </w:rPr>
        <w:t>Zadru</w:t>
      </w:r>
      <w:r w:rsidRPr="00946AE9">
        <w:rPr>
          <w:rFonts w:ascii="Calibri" w:eastAsia="Calibri" w:hAnsi="Calibri" w:cs="Calibri"/>
          <w:szCs w:val="22"/>
        </w:rPr>
        <w:t xml:space="preserve"> dana je u </w:t>
      </w:r>
      <w:r w:rsidR="00DA69B5">
        <w:rPr>
          <w:rFonts w:ascii="Calibri" w:eastAsia="Calibri" w:hAnsi="Calibri" w:cs="Calibri"/>
          <w:szCs w:val="22"/>
        </w:rPr>
        <w:t>T</w:t>
      </w:r>
      <w:r w:rsidR="00175AA2">
        <w:rPr>
          <w:rFonts w:ascii="Calibri" w:eastAsia="Calibri" w:hAnsi="Calibri" w:cs="Calibri"/>
          <w:szCs w:val="22"/>
        </w:rPr>
        <w:t>ablici 5</w:t>
      </w:r>
      <w:r w:rsidRPr="00946AE9">
        <w:rPr>
          <w:rFonts w:ascii="Calibri" w:eastAsia="Calibri" w:hAnsi="Calibri" w:cs="Calibri"/>
          <w:szCs w:val="22"/>
        </w:rPr>
        <w:t>. Grafički prikaz emisija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DA69B5">
        <w:rPr>
          <w:rFonts w:ascii="Calibri" w:eastAsia="Calibri" w:hAnsi="Calibri" w:cs="Calibri"/>
          <w:szCs w:val="22"/>
        </w:rPr>
        <w:t xml:space="preserve">podsektora unutar sektora prometa Grada Zadra prema vrsti goriva </w:t>
      </w:r>
      <w:r w:rsidRPr="00946AE9">
        <w:rPr>
          <w:rFonts w:ascii="Calibri" w:eastAsia="Calibri" w:hAnsi="Calibri" w:cs="Calibri"/>
          <w:szCs w:val="22"/>
        </w:rPr>
        <w:t xml:space="preserve">dan je na </w:t>
      </w:r>
      <w:r w:rsidR="00DA69B5">
        <w:rPr>
          <w:rFonts w:ascii="Calibri" w:eastAsia="Calibri" w:hAnsi="Calibri" w:cs="Calibri"/>
          <w:szCs w:val="22"/>
        </w:rPr>
        <w:t>S</w:t>
      </w:r>
      <w:r w:rsidRPr="00946AE9">
        <w:rPr>
          <w:rFonts w:ascii="Calibri" w:eastAsia="Calibri" w:hAnsi="Calibri" w:cs="Calibri"/>
          <w:szCs w:val="22"/>
        </w:rPr>
        <w:t>lici 4.</w:t>
      </w:r>
    </w:p>
    <w:p w14:paraId="737135DC" w14:textId="7618F686" w:rsidR="007A0AF0" w:rsidRDefault="007A0AF0">
      <w:pPr>
        <w:spacing w:after="0"/>
        <w:jc w:val="left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br w:type="page"/>
      </w:r>
    </w:p>
    <w:p w14:paraId="20097859" w14:textId="1C942453" w:rsidR="00C83D0B" w:rsidRDefault="00C83D0B" w:rsidP="00535DE0">
      <w:pPr>
        <w:pStyle w:val="Opisslike"/>
      </w:pPr>
      <w:r>
        <w:lastRenderedPageBreak/>
        <w:t xml:space="preserve">Tablica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Tablica \* ARABIC </w:instrText>
      </w:r>
      <w:r w:rsidR="00482BED">
        <w:rPr>
          <w:noProof/>
        </w:rPr>
        <w:fldChar w:fldCharType="separate"/>
      </w:r>
      <w:r w:rsidR="00535DE0">
        <w:rPr>
          <w:noProof/>
        </w:rPr>
        <w:t>5</w:t>
      </w:r>
      <w:r w:rsidR="00482BED">
        <w:rPr>
          <w:noProof/>
        </w:rPr>
        <w:fldChar w:fldCharType="end"/>
      </w:r>
      <w:r w:rsidR="00CD10BC">
        <w:rPr>
          <w:noProof/>
        </w:rPr>
        <w:t>:</w:t>
      </w:r>
      <w:r>
        <w:t xml:space="preserve"> </w:t>
      </w:r>
      <w:r w:rsidR="005625CF">
        <w:t>Ukupne emisije</w:t>
      </w:r>
      <w:r>
        <w:t xml:space="preserve"> CO</w:t>
      </w:r>
      <w:r>
        <w:rPr>
          <w:vertAlign w:val="subscript"/>
        </w:rPr>
        <w:t>2</w:t>
      </w:r>
      <w:r>
        <w:t xml:space="preserve"> sektora prometa Grada </w:t>
      </w:r>
      <w:r w:rsidR="00CA60CE">
        <w:t>Zadra</w:t>
      </w: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2255"/>
        <w:gridCol w:w="1327"/>
        <w:gridCol w:w="1512"/>
        <w:gridCol w:w="1512"/>
        <w:gridCol w:w="1413"/>
        <w:gridCol w:w="1603"/>
      </w:tblGrid>
      <w:tr w:rsidR="00C83D0B" w:rsidRPr="00F37FAF" w14:paraId="784EC39C" w14:textId="77777777" w:rsidTr="00346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265ABC09" w14:textId="77777777" w:rsidR="00C83D0B" w:rsidRPr="00F37FAF" w:rsidRDefault="00C83D0B" w:rsidP="00FC33F7">
            <w:pPr>
              <w:jc w:val="center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Sektor</w:t>
            </w:r>
          </w:p>
        </w:tc>
        <w:tc>
          <w:tcPr>
            <w:tcW w:w="1350" w:type="dxa"/>
            <w:vMerge w:val="restart"/>
            <w:vAlign w:val="center"/>
          </w:tcPr>
          <w:p w14:paraId="01EC669C" w14:textId="77777777" w:rsidR="00C83D0B" w:rsidRPr="00F37FAF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Broj vozila</w:t>
            </w:r>
          </w:p>
        </w:tc>
        <w:tc>
          <w:tcPr>
            <w:tcW w:w="6120" w:type="dxa"/>
            <w:gridSpan w:val="4"/>
            <w:vAlign w:val="center"/>
          </w:tcPr>
          <w:p w14:paraId="65293122" w14:textId="56451A61" w:rsidR="00C83D0B" w:rsidRPr="00F37FAF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Emisija CO</w:t>
            </w:r>
            <w:r w:rsidRPr="009252C3">
              <w:rPr>
                <w:rFonts w:ascii="Calibri" w:hAnsi="Calibri" w:cs="Calibri"/>
                <w:vertAlign w:val="subscript"/>
              </w:rPr>
              <w:t>2</w:t>
            </w:r>
            <w:r w:rsidR="009252C3">
              <w:rPr>
                <w:rFonts w:ascii="Calibri" w:hAnsi="Calibri" w:cs="Calibri"/>
              </w:rPr>
              <w:t xml:space="preserve"> (tCO</w:t>
            </w:r>
            <w:r w:rsidR="009252C3" w:rsidRPr="009252C3">
              <w:rPr>
                <w:rFonts w:ascii="Calibri" w:hAnsi="Calibri" w:cs="Calibri"/>
                <w:vertAlign w:val="subscript"/>
              </w:rPr>
              <w:t>2</w:t>
            </w:r>
            <w:r w:rsidR="009252C3">
              <w:rPr>
                <w:rFonts w:ascii="Calibri" w:hAnsi="Calibri" w:cs="Calibri"/>
              </w:rPr>
              <w:t>)</w:t>
            </w:r>
          </w:p>
        </w:tc>
      </w:tr>
      <w:tr w:rsidR="00346167" w:rsidRPr="00F37FAF" w14:paraId="594D8488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0B33BD9" w14:textId="77777777" w:rsidR="00C83D0B" w:rsidRPr="00F37FAF" w:rsidRDefault="00C83D0B" w:rsidP="00FC33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vMerge/>
            <w:vAlign w:val="center"/>
          </w:tcPr>
          <w:p w14:paraId="770BB731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30" w:type="dxa"/>
            <w:vAlign w:val="center"/>
          </w:tcPr>
          <w:p w14:paraId="177FB7F5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37FAF">
              <w:rPr>
                <w:rFonts w:ascii="Calibri" w:hAnsi="Calibri" w:cs="Calibri"/>
                <w:b/>
              </w:rPr>
              <w:t>Benzin</w:t>
            </w:r>
          </w:p>
        </w:tc>
        <w:tc>
          <w:tcPr>
            <w:tcW w:w="1530" w:type="dxa"/>
            <w:vAlign w:val="center"/>
          </w:tcPr>
          <w:p w14:paraId="19C0F943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37FAF">
              <w:rPr>
                <w:rFonts w:ascii="Calibri" w:hAnsi="Calibri" w:cs="Calibri"/>
                <w:b/>
              </w:rPr>
              <w:t>Dizel</w:t>
            </w:r>
          </w:p>
        </w:tc>
        <w:tc>
          <w:tcPr>
            <w:tcW w:w="1440" w:type="dxa"/>
            <w:vAlign w:val="center"/>
          </w:tcPr>
          <w:p w14:paraId="1B274F37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37FAF">
              <w:rPr>
                <w:rFonts w:ascii="Calibri" w:hAnsi="Calibri" w:cs="Calibri"/>
                <w:b/>
              </w:rPr>
              <w:t>UNP</w:t>
            </w:r>
          </w:p>
        </w:tc>
        <w:tc>
          <w:tcPr>
            <w:tcW w:w="1620" w:type="dxa"/>
            <w:vAlign w:val="center"/>
          </w:tcPr>
          <w:p w14:paraId="4E16BC95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37FAF">
              <w:rPr>
                <w:rFonts w:ascii="Calibri" w:hAnsi="Calibri" w:cs="Calibri"/>
                <w:b/>
              </w:rPr>
              <w:t>Ukupno</w:t>
            </w:r>
          </w:p>
        </w:tc>
      </w:tr>
      <w:tr w:rsidR="00346167" w:rsidRPr="00F37FAF" w14:paraId="2190F4E9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DE23E89" w14:textId="1920A970" w:rsidR="00C83D0B" w:rsidRPr="00B30B40" w:rsidRDefault="00C83D0B" w:rsidP="006112AA">
            <w:pPr>
              <w:jc w:val="center"/>
              <w:rPr>
                <w:rFonts w:ascii="Calibri" w:hAnsi="Calibri" w:cs="Calibri"/>
                <w:b w:val="0"/>
              </w:rPr>
            </w:pPr>
            <w:r w:rsidRPr="00B30B40">
              <w:rPr>
                <w:rFonts w:ascii="Calibri" w:hAnsi="Calibri" w:cs="Calibri"/>
                <w:b w:val="0"/>
              </w:rPr>
              <w:t xml:space="preserve">Vozila </w:t>
            </w:r>
            <w:r w:rsidR="00481118" w:rsidRPr="00B30B40">
              <w:rPr>
                <w:rFonts w:ascii="Calibri" w:hAnsi="Calibri" w:cs="Calibri"/>
                <w:b w:val="0"/>
              </w:rPr>
              <w:t>Grad</w:t>
            </w:r>
            <w:r w:rsidR="006112AA">
              <w:rPr>
                <w:rFonts w:ascii="Calibri" w:hAnsi="Calibri" w:cs="Calibri"/>
                <w:b w:val="0"/>
              </w:rPr>
              <w:t>ske uprave</w:t>
            </w:r>
            <w:r w:rsidR="00481118" w:rsidRPr="00B30B40">
              <w:rPr>
                <w:rFonts w:ascii="Calibri" w:hAnsi="Calibri" w:cs="Calibri"/>
                <w:b w:val="0"/>
              </w:rPr>
              <w:t xml:space="preserve"> </w:t>
            </w:r>
            <w:r w:rsidR="00B67695">
              <w:rPr>
                <w:rFonts w:ascii="Calibri" w:hAnsi="Calibri" w:cs="Calibri"/>
                <w:b w:val="0"/>
              </w:rPr>
              <w:t>i</w:t>
            </w:r>
            <w:r w:rsidR="00481118" w:rsidRPr="00B30B40">
              <w:rPr>
                <w:rFonts w:ascii="Calibri" w:hAnsi="Calibri" w:cs="Calibri"/>
                <w:b w:val="0"/>
              </w:rPr>
              <w:t xml:space="preserve"> Gradskih ustanova/poduzeća</w:t>
            </w:r>
          </w:p>
        </w:tc>
        <w:tc>
          <w:tcPr>
            <w:tcW w:w="1350" w:type="dxa"/>
            <w:vAlign w:val="center"/>
          </w:tcPr>
          <w:p w14:paraId="3B85BB2D" w14:textId="54247FBE" w:rsidR="00C83D0B" w:rsidRPr="00F37FAF" w:rsidRDefault="00CA60CE" w:rsidP="0056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1530" w:type="dxa"/>
            <w:vAlign w:val="center"/>
          </w:tcPr>
          <w:p w14:paraId="146A8A09" w14:textId="319DC180" w:rsidR="00C83D0B" w:rsidRPr="00F37FAF" w:rsidRDefault="00B67695" w:rsidP="0012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26774">
              <w:rPr>
                <w:rFonts w:ascii="Calibri" w:hAnsi="Calibri" w:cs="Calibri"/>
              </w:rPr>
              <w:t>69,67</w:t>
            </w:r>
          </w:p>
        </w:tc>
        <w:tc>
          <w:tcPr>
            <w:tcW w:w="1530" w:type="dxa"/>
            <w:vAlign w:val="center"/>
          </w:tcPr>
          <w:p w14:paraId="563E4932" w14:textId="0C1515AF" w:rsidR="00C83D0B" w:rsidRPr="00F37FAF" w:rsidRDefault="00CA60CE" w:rsidP="0012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  <w:r w:rsidR="00126774">
              <w:rPr>
                <w:rFonts w:ascii="Calibri" w:hAnsi="Calibri" w:cs="Calibri"/>
              </w:rPr>
              <w:t>8,60</w:t>
            </w:r>
          </w:p>
        </w:tc>
        <w:tc>
          <w:tcPr>
            <w:tcW w:w="1440" w:type="dxa"/>
            <w:vAlign w:val="center"/>
          </w:tcPr>
          <w:p w14:paraId="2E8AD968" w14:textId="5AFE5763" w:rsidR="00C83D0B" w:rsidRPr="00F37FAF" w:rsidRDefault="00CA60CE" w:rsidP="0012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C269C">
              <w:rPr>
                <w:rFonts w:ascii="Calibri" w:hAnsi="Calibri" w:cs="Calibri"/>
              </w:rPr>
              <w:t>,</w:t>
            </w:r>
            <w:r w:rsidR="00126774">
              <w:rPr>
                <w:rFonts w:ascii="Calibri" w:hAnsi="Calibri" w:cs="Calibri"/>
              </w:rPr>
              <w:t>36</w:t>
            </w:r>
          </w:p>
        </w:tc>
        <w:tc>
          <w:tcPr>
            <w:tcW w:w="1620" w:type="dxa"/>
            <w:vAlign w:val="center"/>
          </w:tcPr>
          <w:p w14:paraId="1FC3473F" w14:textId="1FED874F" w:rsidR="00C83D0B" w:rsidRPr="00F37FAF" w:rsidRDefault="00CA60CE" w:rsidP="0012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C83D0B" w:rsidRPr="00F37FAF">
              <w:rPr>
                <w:rFonts w:ascii="Calibri" w:hAnsi="Calibri" w:cs="Calibri"/>
                <w:b/>
              </w:rPr>
              <w:t>.</w:t>
            </w:r>
            <w:r w:rsidR="00B67695">
              <w:rPr>
                <w:rFonts w:ascii="Calibri" w:hAnsi="Calibri" w:cs="Calibri"/>
                <w:b/>
              </w:rPr>
              <w:t>18</w:t>
            </w:r>
            <w:r w:rsidR="00126774">
              <w:rPr>
                <w:rFonts w:ascii="Calibri" w:hAnsi="Calibri" w:cs="Calibri"/>
                <w:b/>
              </w:rPr>
              <w:t>4,63</w:t>
            </w:r>
          </w:p>
        </w:tc>
      </w:tr>
      <w:tr w:rsidR="00346167" w:rsidRPr="00F37FAF" w14:paraId="21521FC1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104AE3" w14:textId="77777777" w:rsidR="00C83D0B" w:rsidRPr="00B30B40" w:rsidRDefault="00C83D0B" w:rsidP="005625CF">
            <w:pPr>
              <w:jc w:val="center"/>
              <w:rPr>
                <w:rFonts w:ascii="Calibri" w:hAnsi="Calibri" w:cs="Calibri"/>
                <w:b w:val="0"/>
              </w:rPr>
            </w:pPr>
            <w:r w:rsidRPr="00B30B40">
              <w:rPr>
                <w:rFonts w:ascii="Calibri" w:hAnsi="Calibri" w:cs="Calibri"/>
                <w:b w:val="0"/>
              </w:rPr>
              <w:t>Javni prijevoz</w:t>
            </w:r>
          </w:p>
        </w:tc>
        <w:tc>
          <w:tcPr>
            <w:tcW w:w="1350" w:type="dxa"/>
            <w:vAlign w:val="center"/>
          </w:tcPr>
          <w:p w14:paraId="7915C1CD" w14:textId="56487A41" w:rsidR="00C83D0B" w:rsidRPr="00F37FAF" w:rsidRDefault="00481118" w:rsidP="0056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530" w:type="dxa"/>
            <w:vAlign w:val="center"/>
          </w:tcPr>
          <w:p w14:paraId="52B8BF6C" w14:textId="76C713D3" w:rsidR="00C83D0B" w:rsidRPr="00F37FAF" w:rsidRDefault="0016677E" w:rsidP="00F23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530" w:type="dxa"/>
            <w:vAlign w:val="center"/>
          </w:tcPr>
          <w:p w14:paraId="14946615" w14:textId="0FDEFD3B" w:rsidR="00C83D0B" w:rsidRPr="00F37FAF" w:rsidRDefault="00CA60CE" w:rsidP="00B30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83D0B" w:rsidRPr="00F37FAF">
              <w:rPr>
                <w:rFonts w:ascii="Calibri" w:hAnsi="Calibri" w:cs="Calibri"/>
              </w:rPr>
              <w:t>.</w:t>
            </w:r>
            <w:r w:rsidR="00B30B40">
              <w:rPr>
                <w:rFonts w:ascii="Calibri" w:hAnsi="Calibri" w:cs="Calibri"/>
              </w:rPr>
              <w:t>388</w:t>
            </w:r>
            <w:r w:rsidR="009C269C">
              <w:rPr>
                <w:rFonts w:ascii="Calibri" w:hAnsi="Calibri" w:cs="Calibri"/>
              </w:rPr>
              <w:t>,4</w:t>
            </w:r>
            <w:r w:rsidR="00126774">
              <w:rPr>
                <w:rFonts w:ascii="Calibri" w:hAnsi="Calibri" w:cs="Calibri"/>
              </w:rPr>
              <w:t>1</w:t>
            </w:r>
          </w:p>
        </w:tc>
        <w:tc>
          <w:tcPr>
            <w:tcW w:w="1440" w:type="dxa"/>
            <w:vAlign w:val="center"/>
          </w:tcPr>
          <w:p w14:paraId="1C1CF0EC" w14:textId="616F8F72" w:rsidR="00C83D0B" w:rsidRPr="00F37FAF" w:rsidRDefault="00CA60CE" w:rsidP="0012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C269C">
              <w:rPr>
                <w:rFonts w:ascii="Calibri" w:hAnsi="Calibri" w:cs="Calibri"/>
              </w:rPr>
              <w:t>,</w:t>
            </w:r>
            <w:r w:rsidR="00126774">
              <w:rPr>
                <w:rFonts w:ascii="Calibri" w:hAnsi="Calibri" w:cs="Calibri"/>
              </w:rPr>
              <w:t>17</w:t>
            </w:r>
          </w:p>
        </w:tc>
        <w:tc>
          <w:tcPr>
            <w:tcW w:w="1620" w:type="dxa"/>
            <w:vAlign w:val="center"/>
          </w:tcPr>
          <w:p w14:paraId="1D53578B" w14:textId="766CA608" w:rsidR="00C83D0B" w:rsidRPr="00F37FAF" w:rsidRDefault="00CA60CE" w:rsidP="0012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C83D0B" w:rsidRPr="00F37FAF">
              <w:rPr>
                <w:rFonts w:ascii="Calibri" w:hAnsi="Calibri" w:cs="Calibri"/>
                <w:b/>
              </w:rPr>
              <w:t>.</w:t>
            </w:r>
            <w:r w:rsidR="00B30B40">
              <w:rPr>
                <w:rFonts w:ascii="Calibri" w:hAnsi="Calibri" w:cs="Calibri"/>
                <w:b/>
              </w:rPr>
              <w:t>39</w:t>
            </w:r>
            <w:r w:rsidR="00126774">
              <w:rPr>
                <w:rFonts w:ascii="Calibri" w:hAnsi="Calibri" w:cs="Calibri"/>
                <w:b/>
              </w:rPr>
              <w:t>6,58</w:t>
            </w:r>
          </w:p>
        </w:tc>
      </w:tr>
      <w:tr w:rsidR="00346167" w:rsidRPr="00F37FAF" w14:paraId="3058B703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698E1B0" w14:textId="14ADF7AF" w:rsidR="00C83D0B" w:rsidRPr="00B30B40" w:rsidRDefault="009C269C" w:rsidP="00B30B40">
            <w:pPr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Gradski cestovni promet</w:t>
            </w:r>
          </w:p>
        </w:tc>
        <w:tc>
          <w:tcPr>
            <w:tcW w:w="1350" w:type="dxa"/>
            <w:vAlign w:val="center"/>
          </w:tcPr>
          <w:p w14:paraId="12170E15" w14:textId="1B0C8C13" w:rsidR="00C83D0B" w:rsidRPr="00F37FAF" w:rsidRDefault="00CA60CE" w:rsidP="00CA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r w:rsidR="00C83D0B" w:rsidRPr="00F37FA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654</w:t>
            </w:r>
          </w:p>
        </w:tc>
        <w:tc>
          <w:tcPr>
            <w:tcW w:w="1530" w:type="dxa"/>
            <w:vAlign w:val="center"/>
          </w:tcPr>
          <w:p w14:paraId="1983F9BF" w14:textId="712E37F0" w:rsidR="00C83D0B" w:rsidRPr="00F37FAF" w:rsidRDefault="00CA60CE" w:rsidP="00B67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="00C83D0B" w:rsidRPr="00F37FAF">
              <w:rPr>
                <w:rFonts w:ascii="Calibri" w:hAnsi="Calibri" w:cs="Calibri"/>
              </w:rPr>
              <w:t>.</w:t>
            </w:r>
            <w:r w:rsidR="00B67695">
              <w:rPr>
                <w:rFonts w:ascii="Calibri" w:hAnsi="Calibri" w:cs="Calibri"/>
              </w:rPr>
              <w:t>769</w:t>
            </w:r>
            <w:r w:rsidR="00126774">
              <w:rPr>
                <w:rFonts w:ascii="Calibri" w:hAnsi="Calibri" w:cs="Calibri"/>
              </w:rPr>
              <w:t>,03</w:t>
            </w:r>
          </w:p>
        </w:tc>
        <w:tc>
          <w:tcPr>
            <w:tcW w:w="1530" w:type="dxa"/>
            <w:vAlign w:val="center"/>
          </w:tcPr>
          <w:p w14:paraId="7710DE1D" w14:textId="2EF4C22A" w:rsidR="00C83D0B" w:rsidRPr="00F37FAF" w:rsidRDefault="00CA60CE" w:rsidP="00F23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67695">
              <w:rPr>
                <w:rFonts w:ascii="Calibri" w:hAnsi="Calibri" w:cs="Calibri"/>
              </w:rPr>
              <w:t>1.444</w:t>
            </w:r>
            <w:r w:rsidR="00126774">
              <w:rPr>
                <w:rFonts w:ascii="Calibri" w:hAnsi="Calibri" w:cs="Calibri"/>
              </w:rPr>
              <w:t>,27</w:t>
            </w:r>
          </w:p>
        </w:tc>
        <w:tc>
          <w:tcPr>
            <w:tcW w:w="1440" w:type="dxa"/>
            <w:vAlign w:val="center"/>
          </w:tcPr>
          <w:p w14:paraId="5D25F48C" w14:textId="0F603371" w:rsidR="00C83D0B" w:rsidRPr="00F37FAF" w:rsidRDefault="00CA60CE" w:rsidP="00B67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67695">
              <w:rPr>
                <w:rFonts w:ascii="Calibri" w:hAnsi="Calibri" w:cs="Calibri"/>
              </w:rPr>
              <w:t>27</w:t>
            </w:r>
          </w:p>
        </w:tc>
        <w:tc>
          <w:tcPr>
            <w:tcW w:w="1620" w:type="dxa"/>
            <w:vAlign w:val="center"/>
          </w:tcPr>
          <w:p w14:paraId="14237C00" w14:textId="5E07CC24" w:rsidR="00C83D0B" w:rsidRPr="00F37FAF" w:rsidRDefault="00CA60CE" w:rsidP="00B67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97</w:t>
            </w:r>
            <w:r w:rsidR="00C83D0B" w:rsidRPr="00F37FAF">
              <w:rPr>
                <w:rFonts w:ascii="Calibri" w:hAnsi="Calibri" w:cs="Calibri"/>
                <w:b/>
              </w:rPr>
              <w:t>.</w:t>
            </w:r>
            <w:r w:rsidR="00B67695">
              <w:rPr>
                <w:rFonts w:ascii="Calibri" w:hAnsi="Calibri" w:cs="Calibri"/>
                <w:b/>
              </w:rPr>
              <w:t>440</w:t>
            </w:r>
            <w:r w:rsidR="00126774">
              <w:rPr>
                <w:rFonts w:ascii="Calibri" w:hAnsi="Calibri" w:cs="Calibri"/>
                <w:b/>
              </w:rPr>
              <w:t>,30</w:t>
            </w:r>
          </w:p>
        </w:tc>
      </w:tr>
      <w:tr w:rsidR="00346167" w:rsidRPr="00F37FAF" w14:paraId="5966140C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671AB9B" w14:textId="77777777" w:rsidR="00C83D0B" w:rsidRPr="00F37FAF" w:rsidRDefault="00C83D0B" w:rsidP="005625CF">
            <w:pPr>
              <w:jc w:val="center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UKUPNO</w:t>
            </w:r>
          </w:p>
        </w:tc>
        <w:tc>
          <w:tcPr>
            <w:tcW w:w="1350" w:type="dxa"/>
            <w:vAlign w:val="center"/>
          </w:tcPr>
          <w:p w14:paraId="61D13804" w14:textId="2B0E7A71" w:rsidR="00C83D0B" w:rsidRPr="00F37FAF" w:rsidRDefault="004717DD" w:rsidP="0056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35.011</w:t>
            </w:r>
          </w:p>
        </w:tc>
        <w:tc>
          <w:tcPr>
            <w:tcW w:w="1530" w:type="dxa"/>
            <w:vAlign w:val="center"/>
          </w:tcPr>
          <w:p w14:paraId="325EE212" w14:textId="7103AAF8" w:rsidR="00C83D0B" w:rsidRPr="00F37FAF" w:rsidRDefault="00CA60CE" w:rsidP="0012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56</w:t>
            </w:r>
            <w:r w:rsidR="00C83D0B" w:rsidRPr="00F37FAF">
              <w:rPr>
                <w:rFonts w:ascii="Calibri" w:hAnsi="Calibri" w:cs="Calibri"/>
                <w:b/>
              </w:rPr>
              <w:t>.</w:t>
            </w:r>
            <w:r w:rsidR="00B67695">
              <w:rPr>
                <w:rFonts w:ascii="Calibri" w:hAnsi="Calibri" w:cs="Calibri"/>
                <w:b/>
              </w:rPr>
              <w:t>03</w:t>
            </w:r>
            <w:r w:rsidR="00126774">
              <w:rPr>
                <w:rFonts w:ascii="Calibri" w:hAnsi="Calibri" w:cs="Calibri"/>
                <w:b/>
              </w:rPr>
              <w:t>8,70</w:t>
            </w:r>
          </w:p>
        </w:tc>
        <w:tc>
          <w:tcPr>
            <w:tcW w:w="1530" w:type="dxa"/>
            <w:vAlign w:val="center"/>
          </w:tcPr>
          <w:p w14:paraId="7D13A699" w14:textId="7B2F0B30" w:rsidR="00C83D0B" w:rsidRPr="00F37FAF" w:rsidRDefault="00CA60CE" w:rsidP="00B67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46</w:t>
            </w:r>
            <w:r w:rsidR="00C83D0B" w:rsidRPr="00F37FA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7</w:t>
            </w:r>
            <w:r w:rsidR="00B67695">
              <w:rPr>
                <w:rFonts w:ascii="Calibri" w:hAnsi="Calibri" w:cs="Calibri"/>
                <w:b/>
              </w:rPr>
              <w:t>41</w:t>
            </w:r>
            <w:r w:rsidR="00126774">
              <w:rPr>
                <w:rFonts w:ascii="Calibri" w:hAnsi="Calibri" w:cs="Calibri"/>
                <w:b/>
              </w:rPr>
              <w:t>,28</w:t>
            </w:r>
          </w:p>
        </w:tc>
        <w:tc>
          <w:tcPr>
            <w:tcW w:w="1440" w:type="dxa"/>
            <w:vAlign w:val="center"/>
          </w:tcPr>
          <w:p w14:paraId="75EB4885" w14:textId="34C2E75A" w:rsidR="00C83D0B" w:rsidRPr="00F37FAF" w:rsidRDefault="00B67695" w:rsidP="0012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</w:t>
            </w:r>
            <w:r w:rsidR="00126774">
              <w:rPr>
                <w:rFonts w:ascii="Calibri" w:hAnsi="Calibri" w:cs="Calibri"/>
                <w:b/>
              </w:rPr>
              <w:t>1,53</w:t>
            </w:r>
          </w:p>
        </w:tc>
        <w:tc>
          <w:tcPr>
            <w:tcW w:w="1620" w:type="dxa"/>
            <w:vAlign w:val="center"/>
          </w:tcPr>
          <w:p w14:paraId="5E4A09C8" w14:textId="343239E5" w:rsidR="00C83D0B" w:rsidRPr="00F37FAF" w:rsidRDefault="00CA60CE" w:rsidP="0012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103</w:t>
            </w:r>
            <w:r w:rsidR="00C83D0B" w:rsidRPr="00F37FAF">
              <w:rPr>
                <w:rFonts w:ascii="Calibri" w:hAnsi="Calibri" w:cs="Calibri"/>
                <w:b/>
              </w:rPr>
              <w:t>.</w:t>
            </w:r>
            <w:r w:rsidR="00B67695">
              <w:rPr>
                <w:rFonts w:ascii="Calibri" w:hAnsi="Calibri" w:cs="Calibri"/>
                <w:b/>
              </w:rPr>
              <w:t>02</w:t>
            </w:r>
            <w:r w:rsidR="00126774">
              <w:rPr>
                <w:rFonts w:ascii="Calibri" w:hAnsi="Calibri" w:cs="Calibri"/>
                <w:b/>
              </w:rPr>
              <w:t>1,51</w:t>
            </w:r>
          </w:p>
        </w:tc>
      </w:tr>
    </w:tbl>
    <w:p w14:paraId="3C1BFAC2" w14:textId="77777777" w:rsidR="00C83D0B" w:rsidRDefault="00C83D0B" w:rsidP="00C83D0B">
      <w:pPr>
        <w:rPr>
          <w:rFonts w:ascii="Calibri" w:eastAsia="Calibri" w:hAnsi="Calibri" w:cs="Calibri"/>
        </w:rPr>
      </w:pPr>
    </w:p>
    <w:p w14:paraId="186FBB9F" w14:textId="70F59695" w:rsidR="00C83D0B" w:rsidRPr="001B641F" w:rsidRDefault="004A53D3" w:rsidP="00685261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drawing>
          <wp:inline distT="0" distB="0" distL="0" distR="0" wp14:anchorId="609DBC66" wp14:editId="452D2BC9">
            <wp:extent cx="5998845" cy="436499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436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50DA7" w14:textId="74E4B9DA" w:rsidR="00CD10BC" w:rsidRPr="00685261" w:rsidRDefault="00C83D0B" w:rsidP="00535DE0">
      <w:pPr>
        <w:pStyle w:val="Opisslike"/>
      </w:pPr>
      <w:r w:rsidRPr="00866787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12DBC">
        <w:rPr>
          <w:noProof/>
        </w:rPr>
        <w:t>4</w:t>
      </w:r>
      <w:r w:rsidR="00482BED">
        <w:rPr>
          <w:noProof/>
        </w:rPr>
        <w:fldChar w:fldCharType="end"/>
      </w:r>
      <w:r w:rsidR="00CD10BC" w:rsidRPr="00866787">
        <w:rPr>
          <w:noProof/>
        </w:rPr>
        <w:t>:</w:t>
      </w:r>
      <w:r w:rsidRPr="00866787">
        <w:t xml:space="preserve"> Usporedba emisija CO</w:t>
      </w:r>
      <w:r w:rsidRPr="00866787">
        <w:rPr>
          <w:vertAlign w:val="subscript"/>
        </w:rPr>
        <w:t>2</w:t>
      </w:r>
      <w:r w:rsidRPr="00866787">
        <w:t xml:space="preserve"> podsektora unutar sektora prometa Grada </w:t>
      </w:r>
      <w:r w:rsidR="00866787" w:rsidRPr="00866787">
        <w:t>Zadra p</w:t>
      </w:r>
      <w:r w:rsidR="00DA69B5">
        <w:t>rema vrsti</w:t>
      </w:r>
      <w:r w:rsidR="00866787" w:rsidRPr="00866787">
        <w:t xml:space="preserve"> goriv</w:t>
      </w:r>
      <w:r w:rsidR="00DA69B5">
        <w:t>a</w:t>
      </w:r>
    </w:p>
    <w:p w14:paraId="2522FC8B" w14:textId="704AC98C" w:rsidR="00823EAD" w:rsidRDefault="00C83D0B" w:rsidP="00C83D0B">
      <w:pPr>
        <w:rPr>
          <w:rFonts w:ascii="Calibri" w:eastAsia="Calibri" w:hAnsi="Calibri" w:cs="Calibri"/>
          <w:szCs w:val="22"/>
        </w:rPr>
      </w:pPr>
      <w:r w:rsidRPr="00946AE9">
        <w:rPr>
          <w:rFonts w:ascii="Calibri" w:eastAsia="Calibri" w:hAnsi="Calibri" w:cs="Calibri"/>
          <w:szCs w:val="22"/>
        </w:rPr>
        <w:t>Ukupna emisija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 xml:space="preserve"> sektora promet</w:t>
      </w:r>
      <w:r w:rsidR="00F5010A">
        <w:rPr>
          <w:rFonts w:ascii="Calibri" w:eastAsia="Calibri" w:hAnsi="Calibri" w:cs="Calibri"/>
          <w:szCs w:val="22"/>
        </w:rPr>
        <w:t>a</w:t>
      </w:r>
      <w:r w:rsidR="00B707AB">
        <w:rPr>
          <w:rFonts w:ascii="Calibri" w:eastAsia="Calibri" w:hAnsi="Calibri" w:cs="Calibri"/>
          <w:szCs w:val="22"/>
        </w:rPr>
        <w:t xml:space="preserve"> </w:t>
      </w:r>
      <w:r w:rsidR="00DA69B5">
        <w:rPr>
          <w:rFonts w:ascii="Calibri" w:eastAsia="Calibri" w:hAnsi="Calibri" w:cs="Calibri"/>
          <w:szCs w:val="22"/>
        </w:rPr>
        <w:t>G</w:t>
      </w:r>
      <w:r w:rsidRPr="00946AE9">
        <w:rPr>
          <w:rFonts w:ascii="Calibri" w:eastAsia="Calibri" w:hAnsi="Calibri" w:cs="Calibri"/>
          <w:szCs w:val="22"/>
        </w:rPr>
        <w:t xml:space="preserve">rada </w:t>
      </w:r>
      <w:r w:rsidR="001B641F">
        <w:rPr>
          <w:rFonts w:ascii="Calibri" w:eastAsia="Calibri" w:hAnsi="Calibri" w:cs="Calibri"/>
          <w:szCs w:val="22"/>
        </w:rPr>
        <w:t>Zadra u 2010</w:t>
      </w:r>
      <w:r w:rsidRPr="00946AE9">
        <w:rPr>
          <w:rFonts w:ascii="Calibri" w:eastAsia="Calibri" w:hAnsi="Calibri" w:cs="Calibri"/>
          <w:szCs w:val="22"/>
        </w:rPr>
        <w:t xml:space="preserve">. godini iznosila je </w:t>
      </w:r>
      <w:r w:rsidR="001B641F">
        <w:rPr>
          <w:rFonts w:ascii="Calibri" w:eastAsia="Calibri" w:hAnsi="Calibri" w:cs="Calibri"/>
          <w:szCs w:val="22"/>
        </w:rPr>
        <w:t>103</w:t>
      </w:r>
      <w:r w:rsidRPr="00946AE9">
        <w:rPr>
          <w:rFonts w:ascii="Calibri" w:eastAsia="Calibri" w:hAnsi="Calibri" w:cs="Calibri"/>
          <w:szCs w:val="22"/>
        </w:rPr>
        <w:t>.</w:t>
      </w:r>
      <w:r w:rsidR="00B67695">
        <w:rPr>
          <w:rFonts w:ascii="Calibri" w:eastAsia="Calibri" w:hAnsi="Calibri" w:cs="Calibri"/>
          <w:szCs w:val="22"/>
        </w:rPr>
        <w:t>022</w:t>
      </w:r>
      <w:r w:rsidRPr="00946AE9">
        <w:rPr>
          <w:rFonts w:ascii="Calibri" w:eastAsia="Calibri" w:hAnsi="Calibri" w:cs="Calibri"/>
          <w:szCs w:val="22"/>
        </w:rPr>
        <w:t xml:space="preserve"> t. Najveći udio u emisiji čini podsektor </w:t>
      </w:r>
      <w:r w:rsidR="00DA69B5">
        <w:rPr>
          <w:rFonts w:ascii="Calibri" w:eastAsia="Calibri" w:hAnsi="Calibri" w:cs="Calibri"/>
          <w:szCs w:val="22"/>
        </w:rPr>
        <w:t>gradskog cestovnog prometa</w:t>
      </w:r>
      <w:r w:rsidR="00685261">
        <w:rPr>
          <w:rFonts w:ascii="Calibri" w:eastAsia="Calibri" w:hAnsi="Calibri" w:cs="Calibri"/>
          <w:szCs w:val="22"/>
        </w:rPr>
        <w:t xml:space="preserve"> - 95 %</w:t>
      </w:r>
      <w:r w:rsidRPr="00946AE9">
        <w:rPr>
          <w:rFonts w:ascii="Calibri" w:eastAsia="Calibri" w:hAnsi="Calibri" w:cs="Calibri"/>
          <w:szCs w:val="22"/>
        </w:rPr>
        <w:t xml:space="preserve">, udio </w:t>
      </w:r>
      <w:r w:rsidR="001B641F" w:rsidRPr="00946AE9">
        <w:rPr>
          <w:rFonts w:ascii="Calibri" w:eastAsia="Calibri" w:hAnsi="Calibri" w:cs="Calibri"/>
          <w:szCs w:val="22"/>
        </w:rPr>
        <w:t xml:space="preserve">javnog prijevoza </w:t>
      </w:r>
      <w:r w:rsidR="00685261">
        <w:rPr>
          <w:rFonts w:ascii="Calibri" w:eastAsia="Calibri" w:hAnsi="Calibri" w:cs="Calibri"/>
          <w:szCs w:val="22"/>
        </w:rPr>
        <w:t>4</w:t>
      </w:r>
      <w:r w:rsidR="001B641F" w:rsidRPr="00946AE9">
        <w:rPr>
          <w:rFonts w:ascii="Calibri" w:eastAsia="Calibri" w:hAnsi="Calibri" w:cs="Calibri"/>
          <w:szCs w:val="22"/>
        </w:rPr>
        <w:t xml:space="preserve"> %</w:t>
      </w:r>
      <w:r w:rsidR="001B641F">
        <w:rPr>
          <w:rFonts w:ascii="Calibri" w:eastAsia="Calibri" w:hAnsi="Calibri" w:cs="Calibri"/>
          <w:szCs w:val="22"/>
        </w:rPr>
        <w:t>, a udio</w:t>
      </w:r>
      <w:r w:rsidR="001B641F" w:rsidRPr="00946AE9">
        <w:rPr>
          <w:rFonts w:ascii="Calibri" w:eastAsia="Calibri" w:hAnsi="Calibri" w:cs="Calibri"/>
          <w:szCs w:val="22"/>
        </w:rPr>
        <w:t xml:space="preserve"> </w:t>
      </w:r>
      <w:r w:rsidRPr="00946AE9">
        <w:rPr>
          <w:rFonts w:ascii="Calibri" w:eastAsia="Calibri" w:hAnsi="Calibri" w:cs="Calibri"/>
          <w:szCs w:val="22"/>
        </w:rPr>
        <w:t>vo</w:t>
      </w:r>
      <w:r w:rsidR="001B641F">
        <w:rPr>
          <w:rFonts w:ascii="Calibri" w:eastAsia="Calibri" w:hAnsi="Calibri" w:cs="Calibri"/>
          <w:szCs w:val="22"/>
        </w:rPr>
        <w:t xml:space="preserve">zila </w:t>
      </w:r>
      <w:r w:rsidR="00A34C3E">
        <w:rPr>
          <w:rFonts w:ascii="Calibri" w:eastAsia="Calibri" w:hAnsi="Calibri" w:cs="Calibri"/>
          <w:szCs w:val="22"/>
        </w:rPr>
        <w:t>Gradske uprave i Gradskih ustanova/poduzeća</w:t>
      </w:r>
      <w:r w:rsidR="00685261">
        <w:rPr>
          <w:rFonts w:ascii="Calibri" w:eastAsia="Calibri" w:hAnsi="Calibri" w:cs="Calibri"/>
          <w:szCs w:val="22"/>
        </w:rPr>
        <w:t xml:space="preserve"> preostalih 1 </w:t>
      </w:r>
      <w:r w:rsidR="001B641F">
        <w:rPr>
          <w:rFonts w:ascii="Calibri" w:eastAsia="Calibri" w:hAnsi="Calibri" w:cs="Calibri"/>
          <w:szCs w:val="22"/>
        </w:rPr>
        <w:t>%</w:t>
      </w:r>
      <w:r w:rsidR="00685261">
        <w:rPr>
          <w:rFonts w:ascii="Calibri" w:eastAsia="Calibri" w:hAnsi="Calibri" w:cs="Calibri"/>
          <w:szCs w:val="22"/>
        </w:rPr>
        <w:t>.</w:t>
      </w:r>
    </w:p>
    <w:p w14:paraId="28490142" w14:textId="77777777" w:rsidR="00823EAD" w:rsidRDefault="00823EAD">
      <w:pPr>
        <w:spacing w:after="0"/>
        <w:jc w:val="left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br w:type="page"/>
      </w:r>
    </w:p>
    <w:p w14:paraId="4A3F395C" w14:textId="5C61718D" w:rsidR="00C83D0B" w:rsidRDefault="00A34C3E" w:rsidP="00E326D8">
      <w:pPr>
        <w:pStyle w:val="Naslov2"/>
      </w:pPr>
      <w:r>
        <w:lastRenderedPageBreak/>
        <w:t xml:space="preserve">Bazni </w:t>
      </w:r>
      <w:r w:rsidR="00C83D0B">
        <w:t>inventar emisija CO</w:t>
      </w:r>
      <w:r w:rsidR="00C83D0B">
        <w:rPr>
          <w:vertAlign w:val="subscript"/>
        </w:rPr>
        <w:t>2</w:t>
      </w:r>
      <w:r w:rsidR="00C83D0B">
        <w:t xml:space="preserve"> iz sektora javne rasvjete Grada </w:t>
      </w:r>
      <w:r w:rsidR="009A23E4">
        <w:t>Zadra</w:t>
      </w:r>
    </w:p>
    <w:p w14:paraId="76886898" w14:textId="77777777" w:rsidR="00C83D0B" w:rsidRPr="00F744E5" w:rsidRDefault="00C83D0B" w:rsidP="00C83D0B"/>
    <w:p w14:paraId="6A2177D1" w14:textId="24D81ECA" w:rsidR="00C83D0B" w:rsidRPr="00946AE9" w:rsidRDefault="00C83D0B" w:rsidP="00C83D0B">
      <w:pPr>
        <w:rPr>
          <w:rFonts w:ascii="Calibri" w:eastAsia="Calibri" w:hAnsi="Calibri" w:cs="Calibri"/>
          <w:szCs w:val="22"/>
        </w:rPr>
      </w:pPr>
      <w:r w:rsidRPr="00946AE9">
        <w:rPr>
          <w:rFonts w:ascii="Calibri" w:eastAsia="Calibri" w:hAnsi="Calibri" w:cs="Calibri"/>
          <w:szCs w:val="22"/>
        </w:rPr>
        <w:t>Emisiju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 xml:space="preserve"> sektora javne rasvjete Grada </w:t>
      </w:r>
      <w:r w:rsidR="00A34C3E">
        <w:rPr>
          <w:rFonts w:ascii="Calibri" w:eastAsia="Calibri" w:hAnsi="Calibri" w:cs="Calibri"/>
          <w:szCs w:val="22"/>
        </w:rPr>
        <w:t>Zadra</w:t>
      </w:r>
      <w:r w:rsidR="00A34C3E" w:rsidRPr="00946AE9">
        <w:rPr>
          <w:rFonts w:ascii="Calibri" w:eastAsia="Calibri" w:hAnsi="Calibri" w:cs="Calibri"/>
          <w:szCs w:val="22"/>
        </w:rPr>
        <w:t xml:space="preserve"> </w:t>
      </w:r>
      <w:r w:rsidRPr="00946AE9">
        <w:rPr>
          <w:rFonts w:ascii="Calibri" w:eastAsia="Calibri" w:hAnsi="Calibri" w:cs="Calibri"/>
          <w:szCs w:val="22"/>
        </w:rPr>
        <w:t>čini neizravna emisija CO</w:t>
      </w:r>
      <w:r w:rsidRPr="00946AE9">
        <w:rPr>
          <w:rFonts w:ascii="Calibri" w:eastAsia="Calibri" w:hAnsi="Calibri" w:cs="Calibri"/>
          <w:szCs w:val="22"/>
          <w:vertAlign w:val="subscript"/>
        </w:rPr>
        <w:t>2</w:t>
      </w:r>
      <w:r w:rsidRPr="00946AE9">
        <w:rPr>
          <w:rFonts w:ascii="Calibri" w:eastAsia="Calibri" w:hAnsi="Calibri" w:cs="Calibri"/>
          <w:szCs w:val="22"/>
        </w:rPr>
        <w:t xml:space="preserve"> uslijed potrošnje električne energije.</w:t>
      </w:r>
    </w:p>
    <w:p w14:paraId="5E00991C" w14:textId="008E5423" w:rsidR="00C83D0B" w:rsidRDefault="00175AA2" w:rsidP="00C83D0B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U </w:t>
      </w:r>
      <w:r w:rsidR="009C269C">
        <w:rPr>
          <w:rFonts w:ascii="Calibri" w:eastAsia="Calibri" w:hAnsi="Calibri" w:cs="Calibri"/>
          <w:szCs w:val="22"/>
        </w:rPr>
        <w:t>T</w:t>
      </w:r>
      <w:r>
        <w:rPr>
          <w:rFonts w:ascii="Calibri" w:eastAsia="Calibri" w:hAnsi="Calibri" w:cs="Calibri"/>
          <w:szCs w:val="22"/>
        </w:rPr>
        <w:t>ablici 6</w:t>
      </w:r>
      <w:r w:rsidR="0097582A">
        <w:rPr>
          <w:rFonts w:ascii="Calibri" w:eastAsia="Calibri" w:hAnsi="Calibri" w:cs="Calibri"/>
          <w:szCs w:val="22"/>
        </w:rPr>
        <w:t xml:space="preserve"> dana je potrošnja</w:t>
      </w:r>
      <w:r w:rsidR="00C83D0B" w:rsidRPr="00946AE9">
        <w:rPr>
          <w:rFonts w:ascii="Calibri" w:eastAsia="Calibri" w:hAnsi="Calibri" w:cs="Calibri"/>
          <w:szCs w:val="22"/>
        </w:rPr>
        <w:t xml:space="preserve"> e</w:t>
      </w:r>
      <w:r w:rsidR="0097582A">
        <w:rPr>
          <w:rFonts w:ascii="Calibri" w:eastAsia="Calibri" w:hAnsi="Calibri" w:cs="Calibri"/>
          <w:szCs w:val="22"/>
        </w:rPr>
        <w:t>lektrične energije i pripadajuća emisija</w:t>
      </w:r>
      <w:r w:rsidR="00C83D0B" w:rsidRPr="00946AE9">
        <w:rPr>
          <w:rFonts w:ascii="Calibri" w:eastAsia="Calibri" w:hAnsi="Calibri" w:cs="Calibri"/>
          <w:szCs w:val="22"/>
        </w:rPr>
        <w:t xml:space="preserve">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za električnu mrežu javne rasvjete.</w:t>
      </w:r>
      <w:r w:rsidR="0097582A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Ukupna emisija</w:t>
      </w:r>
      <w:r w:rsidR="009A23E4">
        <w:rPr>
          <w:rFonts w:ascii="Calibri" w:eastAsia="Calibri" w:hAnsi="Calibri" w:cs="Calibri"/>
          <w:szCs w:val="22"/>
        </w:rPr>
        <w:t xml:space="preserve"> sektora javne rasvjete iznosi 3.105</w:t>
      </w:r>
      <w:r w:rsidR="00C83D0B" w:rsidRPr="00946AE9">
        <w:rPr>
          <w:rFonts w:ascii="Calibri" w:eastAsia="Calibri" w:hAnsi="Calibri" w:cs="Calibri"/>
          <w:szCs w:val="22"/>
        </w:rPr>
        <w:t xml:space="preserve"> t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>.</w:t>
      </w:r>
    </w:p>
    <w:p w14:paraId="3FAC9662" w14:textId="77777777" w:rsidR="0097582A" w:rsidRPr="00946AE9" w:rsidRDefault="0097582A" w:rsidP="00C83D0B">
      <w:pPr>
        <w:rPr>
          <w:rFonts w:ascii="Calibri" w:eastAsia="Calibri" w:hAnsi="Calibri" w:cs="Calibri"/>
          <w:szCs w:val="22"/>
        </w:rPr>
      </w:pPr>
    </w:p>
    <w:p w14:paraId="57FEB8D6" w14:textId="17054E21" w:rsidR="00C83D0B" w:rsidRPr="00F744E5" w:rsidRDefault="00C83D0B" w:rsidP="00535DE0">
      <w:pPr>
        <w:pStyle w:val="Opisslike"/>
      </w:pPr>
      <w:r>
        <w:t xml:space="preserve">Tablica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Tablica \* ARABIC </w:instrText>
      </w:r>
      <w:r w:rsidR="00482BED">
        <w:rPr>
          <w:noProof/>
        </w:rPr>
        <w:fldChar w:fldCharType="separate"/>
      </w:r>
      <w:r w:rsidR="00535DE0">
        <w:rPr>
          <w:noProof/>
        </w:rPr>
        <w:t>6</w:t>
      </w:r>
      <w:r w:rsidR="00482BED">
        <w:rPr>
          <w:noProof/>
        </w:rPr>
        <w:fldChar w:fldCharType="end"/>
      </w:r>
      <w:r w:rsidR="0097582A">
        <w:rPr>
          <w:noProof/>
        </w:rPr>
        <w:t>:</w:t>
      </w:r>
      <w:r>
        <w:t xml:space="preserve"> Potrošnja električne energije i pripadajuća emisija CO</w:t>
      </w:r>
      <w:r>
        <w:rPr>
          <w:vertAlign w:val="subscript"/>
        </w:rPr>
        <w:t>2</w:t>
      </w:r>
      <w:r>
        <w:t xml:space="preserve"> javne rasvjete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887"/>
        <w:gridCol w:w="2843"/>
        <w:gridCol w:w="2669"/>
        <w:gridCol w:w="2223"/>
      </w:tblGrid>
      <w:tr w:rsidR="00C83D0B" w:rsidRPr="00F37FAF" w14:paraId="7466551A" w14:textId="77777777" w:rsidTr="00346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14:paraId="6205D8A2" w14:textId="77777777" w:rsidR="00C83D0B" w:rsidRPr="00F37FAF" w:rsidRDefault="00C83D0B" w:rsidP="00FC33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1554B877" w14:textId="77777777" w:rsidR="00C83D0B" w:rsidRPr="00F37FAF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Potrošnja električne energije</w:t>
            </w:r>
          </w:p>
        </w:tc>
        <w:tc>
          <w:tcPr>
            <w:tcW w:w="2700" w:type="dxa"/>
            <w:vAlign w:val="center"/>
          </w:tcPr>
          <w:p w14:paraId="6E355923" w14:textId="77777777" w:rsidR="00C83D0B" w:rsidRPr="00F37FAF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Emisijski faktor</w:t>
            </w:r>
          </w:p>
        </w:tc>
        <w:tc>
          <w:tcPr>
            <w:tcW w:w="2250" w:type="dxa"/>
            <w:vAlign w:val="center"/>
          </w:tcPr>
          <w:p w14:paraId="0FA97E7E" w14:textId="1C56B5BB" w:rsidR="00C83D0B" w:rsidRPr="00F01217" w:rsidRDefault="00C83D0B" w:rsidP="00925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Emisija CO</w:t>
            </w:r>
            <w:r w:rsidR="009252C3">
              <w:rPr>
                <w:rFonts w:ascii="Calibri" w:hAnsi="Calibri" w:cs="Calibri"/>
                <w:vertAlign w:val="subscript"/>
              </w:rPr>
              <w:t>2</w:t>
            </w:r>
          </w:p>
        </w:tc>
      </w:tr>
      <w:tr w:rsidR="00C83D0B" w:rsidRPr="00F37FAF" w14:paraId="5FE000ED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14:paraId="14DBC288" w14:textId="77777777" w:rsidR="00C83D0B" w:rsidRPr="00F37FAF" w:rsidRDefault="00C83D0B" w:rsidP="00FC33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DC28717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37FAF">
              <w:rPr>
                <w:rFonts w:ascii="Calibri" w:hAnsi="Calibri" w:cs="Calibri"/>
                <w:b/>
              </w:rPr>
              <w:t>MWh</w:t>
            </w:r>
          </w:p>
        </w:tc>
        <w:tc>
          <w:tcPr>
            <w:tcW w:w="2700" w:type="dxa"/>
            <w:vAlign w:val="center"/>
          </w:tcPr>
          <w:p w14:paraId="3AC55339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37FAF">
              <w:rPr>
                <w:rFonts w:ascii="Calibri" w:hAnsi="Calibri" w:cs="Calibri"/>
                <w:b/>
              </w:rPr>
              <w:t>tCO</w:t>
            </w:r>
            <w:r>
              <w:rPr>
                <w:rFonts w:ascii="Calibri" w:hAnsi="Calibri" w:cs="Calibri"/>
                <w:b/>
                <w:vertAlign w:val="subscript"/>
              </w:rPr>
              <w:t>2</w:t>
            </w:r>
            <w:r w:rsidRPr="00F37FAF">
              <w:rPr>
                <w:rFonts w:ascii="Calibri" w:hAnsi="Calibri" w:cs="Calibri"/>
                <w:b/>
              </w:rPr>
              <w:t>/MWh</w:t>
            </w:r>
          </w:p>
        </w:tc>
        <w:tc>
          <w:tcPr>
            <w:tcW w:w="2250" w:type="dxa"/>
            <w:vAlign w:val="center"/>
          </w:tcPr>
          <w:p w14:paraId="3F1691B1" w14:textId="77777777" w:rsidR="00C83D0B" w:rsidRPr="003E5BDE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vertAlign w:val="subscript"/>
              </w:rPr>
            </w:pPr>
            <w:r>
              <w:rPr>
                <w:rFonts w:ascii="Calibri" w:hAnsi="Calibri" w:cs="Calibri"/>
                <w:b/>
              </w:rPr>
              <w:t>tCO</w:t>
            </w:r>
            <w:r>
              <w:rPr>
                <w:rFonts w:ascii="Calibri" w:hAnsi="Calibri" w:cs="Calibri"/>
                <w:b/>
                <w:vertAlign w:val="subscript"/>
              </w:rPr>
              <w:t>2</w:t>
            </w:r>
          </w:p>
        </w:tc>
      </w:tr>
      <w:tr w:rsidR="00C83D0B" w:rsidRPr="00F37FAF" w14:paraId="22C9F596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14:paraId="2F9064D5" w14:textId="77777777" w:rsidR="00C83D0B" w:rsidRPr="00F37FAF" w:rsidRDefault="00C83D0B" w:rsidP="00FC33F7">
            <w:pPr>
              <w:jc w:val="center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Javna rasvjeta</w:t>
            </w:r>
          </w:p>
        </w:tc>
        <w:tc>
          <w:tcPr>
            <w:tcW w:w="2880" w:type="dxa"/>
            <w:vAlign w:val="center"/>
          </w:tcPr>
          <w:p w14:paraId="517905F6" w14:textId="08CE7E3D" w:rsidR="00C83D0B" w:rsidRPr="00F37FAF" w:rsidRDefault="00C83D0B" w:rsidP="009A2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7FAF">
              <w:rPr>
                <w:rFonts w:ascii="Calibri" w:hAnsi="Calibri" w:cs="Calibri"/>
              </w:rPr>
              <w:t>8.</w:t>
            </w:r>
            <w:r w:rsidR="009A23E4">
              <w:rPr>
                <w:rFonts w:ascii="Calibri" w:hAnsi="Calibri" w:cs="Calibri"/>
              </w:rPr>
              <w:t>258</w:t>
            </w:r>
          </w:p>
        </w:tc>
        <w:tc>
          <w:tcPr>
            <w:tcW w:w="2700" w:type="dxa"/>
            <w:vAlign w:val="center"/>
          </w:tcPr>
          <w:p w14:paraId="2AE68C41" w14:textId="22EE10DB" w:rsidR="00C83D0B" w:rsidRPr="00F37FAF" w:rsidRDefault="009A23E4" w:rsidP="00FC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0,376</w:t>
            </w:r>
          </w:p>
        </w:tc>
        <w:tc>
          <w:tcPr>
            <w:tcW w:w="2250" w:type="dxa"/>
            <w:vAlign w:val="center"/>
          </w:tcPr>
          <w:p w14:paraId="699F63F1" w14:textId="29875491" w:rsidR="00C83D0B" w:rsidRPr="00F37FAF" w:rsidRDefault="009A23E4" w:rsidP="00A34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83D0B" w:rsidRPr="00F37FA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105</w:t>
            </w:r>
            <w:r w:rsidR="004136B0">
              <w:rPr>
                <w:rFonts w:ascii="Calibri" w:hAnsi="Calibri" w:cs="Calibri"/>
              </w:rPr>
              <w:t>,01</w:t>
            </w:r>
          </w:p>
        </w:tc>
      </w:tr>
    </w:tbl>
    <w:p w14:paraId="38DF3796" w14:textId="15AA48A0" w:rsidR="00946AE9" w:rsidRDefault="00946AE9" w:rsidP="00C83D0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6FB02E99" w14:textId="016B1CCD" w:rsidR="00C83D0B" w:rsidRDefault="00C83D0B" w:rsidP="00E326D8">
      <w:pPr>
        <w:pStyle w:val="Naslov2"/>
      </w:pPr>
      <w:r>
        <w:lastRenderedPageBreak/>
        <w:t xml:space="preserve">Ukupni </w:t>
      </w:r>
      <w:r w:rsidR="00A34C3E">
        <w:t xml:space="preserve">Bazni </w:t>
      </w:r>
      <w:r>
        <w:t>inventar emisija CO</w:t>
      </w:r>
      <w:r>
        <w:rPr>
          <w:vertAlign w:val="subscript"/>
        </w:rPr>
        <w:t>2</w:t>
      </w:r>
      <w:r>
        <w:t xml:space="preserve"> </w:t>
      </w:r>
      <w:r w:rsidR="00A34C3E">
        <w:t>G</w:t>
      </w:r>
      <w:r>
        <w:t xml:space="preserve">rada </w:t>
      </w:r>
      <w:r w:rsidR="00C41A89">
        <w:t>Zadra</w:t>
      </w:r>
    </w:p>
    <w:p w14:paraId="54F89ED7" w14:textId="77777777" w:rsidR="00C83D0B" w:rsidRDefault="00C83D0B" w:rsidP="00C83D0B"/>
    <w:p w14:paraId="4FCB1DC7" w14:textId="1E2301C6" w:rsidR="00C83D0B" w:rsidRPr="00946AE9" w:rsidRDefault="003A2154" w:rsidP="00C83D0B">
      <w:pPr>
        <w:rPr>
          <w:rFonts w:ascii="Calibri" w:eastAsia="Calibri" w:hAnsi="Calibri" w:cs="Calibri"/>
          <w:szCs w:val="22"/>
        </w:rPr>
      </w:pPr>
      <w:r>
        <w:rPr>
          <w:szCs w:val="22"/>
        </w:rPr>
        <w:t xml:space="preserve">Bazni </w:t>
      </w:r>
      <w:r w:rsidR="00C83D0B" w:rsidRPr="00946AE9">
        <w:rPr>
          <w:szCs w:val="22"/>
        </w:rPr>
        <w:t>inventar emisija CO</w:t>
      </w:r>
      <w:r w:rsidR="00C83D0B" w:rsidRPr="00946AE9">
        <w:rPr>
          <w:szCs w:val="22"/>
          <w:vertAlign w:val="subscript"/>
        </w:rPr>
        <w:t>2</w:t>
      </w:r>
      <w:r w:rsidR="00C83D0B" w:rsidRPr="00946AE9">
        <w:rPr>
          <w:szCs w:val="22"/>
        </w:rPr>
        <w:t xml:space="preserve"> </w:t>
      </w:r>
      <w:r>
        <w:rPr>
          <w:szCs w:val="22"/>
        </w:rPr>
        <w:t>G</w:t>
      </w:r>
      <w:r w:rsidR="00C83D0B" w:rsidRPr="00946AE9">
        <w:rPr>
          <w:szCs w:val="22"/>
        </w:rPr>
        <w:t xml:space="preserve">rada </w:t>
      </w:r>
      <w:r w:rsidR="00C41A89">
        <w:rPr>
          <w:szCs w:val="22"/>
        </w:rPr>
        <w:t>Zadra za 2010</w:t>
      </w:r>
      <w:r w:rsidR="00C83D0B" w:rsidRPr="00946AE9">
        <w:rPr>
          <w:szCs w:val="22"/>
        </w:rPr>
        <w:t>. godinu obuhvaća emisije CO</w:t>
      </w:r>
      <w:r w:rsidR="00C83D0B" w:rsidRPr="00946AE9">
        <w:rPr>
          <w:szCs w:val="22"/>
          <w:vertAlign w:val="subscript"/>
        </w:rPr>
        <w:t>2</w:t>
      </w:r>
      <w:r w:rsidR="00C83D0B" w:rsidRPr="00946AE9">
        <w:rPr>
          <w:szCs w:val="22"/>
        </w:rPr>
        <w:t xml:space="preserve"> iz sektora zgradarstva, prometa i javne rasvjete bazirane na energetskim potrošnjama sektora. </w:t>
      </w:r>
      <w:r w:rsidR="00C83D0B" w:rsidRPr="00946AE9">
        <w:rPr>
          <w:rFonts w:ascii="Calibri" w:eastAsia="Calibri" w:hAnsi="Calibri" w:cs="Calibri"/>
          <w:szCs w:val="22"/>
        </w:rPr>
        <w:t xml:space="preserve">U </w:t>
      </w:r>
      <w:r w:rsidR="009C269C">
        <w:rPr>
          <w:rFonts w:ascii="Calibri" w:eastAsia="Calibri" w:hAnsi="Calibri" w:cs="Calibri"/>
          <w:szCs w:val="22"/>
        </w:rPr>
        <w:t>T</w:t>
      </w:r>
      <w:r w:rsidR="00C83D0B" w:rsidRPr="00946AE9">
        <w:rPr>
          <w:rFonts w:ascii="Calibri" w:eastAsia="Calibri" w:hAnsi="Calibri" w:cs="Calibri"/>
          <w:szCs w:val="22"/>
        </w:rPr>
        <w:t xml:space="preserve">ablici </w:t>
      </w:r>
      <w:r w:rsidR="00BD50A1">
        <w:rPr>
          <w:rFonts w:ascii="Calibri" w:eastAsia="Calibri" w:hAnsi="Calibri" w:cs="Calibri"/>
          <w:szCs w:val="22"/>
        </w:rPr>
        <w:t>7</w:t>
      </w:r>
      <w:r w:rsidR="00C83D0B" w:rsidRPr="00946AE9">
        <w:rPr>
          <w:rFonts w:ascii="Calibri" w:eastAsia="Calibri" w:hAnsi="Calibri" w:cs="Calibri"/>
          <w:szCs w:val="22"/>
        </w:rPr>
        <w:t xml:space="preserve"> prikazane su emisije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po sektorima i energentima. Na </w:t>
      </w:r>
      <w:r>
        <w:rPr>
          <w:rFonts w:ascii="Calibri" w:eastAsia="Calibri" w:hAnsi="Calibri" w:cs="Calibri"/>
          <w:szCs w:val="22"/>
        </w:rPr>
        <w:t>S</w:t>
      </w:r>
      <w:r w:rsidR="00175AA2">
        <w:rPr>
          <w:rFonts w:ascii="Calibri" w:eastAsia="Calibri" w:hAnsi="Calibri" w:cs="Calibri"/>
          <w:szCs w:val="22"/>
        </w:rPr>
        <w:t>lici 5</w:t>
      </w:r>
      <w:r w:rsidR="00C83D0B" w:rsidRPr="00946AE9">
        <w:rPr>
          <w:rFonts w:ascii="Calibri" w:eastAsia="Calibri" w:hAnsi="Calibri" w:cs="Calibri"/>
          <w:szCs w:val="22"/>
        </w:rPr>
        <w:t xml:space="preserve"> prikazana je ukupna emisija tCO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 xml:space="preserve"> p</w:t>
      </w:r>
      <w:r>
        <w:rPr>
          <w:rFonts w:ascii="Calibri" w:eastAsia="Calibri" w:hAnsi="Calibri" w:cs="Calibri"/>
          <w:szCs w:val="22"/>
        </w:rPr>
        <w:t>rema pojedinim energentima</w:t>
      </w:r>
      <w:r w:rsidR="00C83D0B" w:rsidRPr="00946AE9">
        <w:rPr>
          <w:rFonts w:ascii="Calibri" w:eastAsia="Calibri" w:hAnsi="Calibri" w:cs="Calibri"/>
          <w:szCs w:val="22"/>
        </w:rPr>
        <w:t xml:space="preserve">, a na </w:t>
      </w:r>
      <w:r>
        <w:rPr>
          <w:rFonts w:ascii="Calibri" w:eastAsia="Calibri" w:hAnsi="Calibri" w:cs="Calibri"/>
          <w:szCs w:val="22"/>
        </w:rPr>
        <w:t>S</w:t>
      </w:r>
      <w:r w:rsidR="00175AA2">
        <w:rPr>
          <w:rFonts w:ascii="Calibri" w:eastAsia="Calibri" w:hAnsi="Calibri" w:cs="Calibri"/>
          <w:szCs w:val="22"/>
        </w:rPr>
        <w:t>lici 6</w:t>
      </w:r>
      <w:r w:rsidR="00C83D0B" w:rsidRPr="00946AE9">
        <w:rPr>
          <w:rFonts w:ascii="Calibri" w:eastAsia="Calibri" w:hAnsi="Calibri" w:cs="Calibri"/>
          <w:szCs w:val="22"/>
        </w:rPr>
        <w:t xml:space="preserve"> emisija po </w:t>
      </w:r>
      <w:r>
        <w:rPr>
          <w:rFonts w:ascii="Calibri" w:eastAsia="Calibri" w:hAnsi="Calibri" w:cs="Calibri"/>
          <w:szCs w:val="22"/>
        </w:rPr>
        <w:t>sektorima</w:t>
      </w:r>
      <w:r w:rsidR="00175AA2">
        <w:rPr>
          <w:rFonts w:ascii="Calibri" w:eastAsia="Calibri" w:hAnsi="Calibri" w:cs="Calibri"/>
          <w:szCs w:val="22"/>
        </w:rPr>
        <w:t xml:space="preserve">. </w:t>
      </w:r>
      <w:r w:rsidR="00C83D0B" w:rsidRPr="00946AE9">
        <w:rPr>
          <w:rFonts w:ascii="Calibri" w:eastAsia="Calibri" w:hAnsi="Calibri" w:cs="Calibri"/>
          <w:szCs w:val="22"/>
        </w:rPr>
        <w:t xml:space="preserve">Ukupna emisija </w:t>
      </w:r>
      <w:r>
        <w:rPr>
          <w:rFonts w:ascii="Calibri" w:eastAsia="Calibri" w:hAnsi="Calibri" w:cs="Calibri"/>
          <w:szCs w:val="22"/>
        </w:rPr>
        <w:t>CO</w:t>
      </w:r>
      <w:r w:rsidRPr="00685261">
        <w:rPr>
          <w:rFonts w:ascii="Calibri" w:eastAsia="Calibri" w:hAnsi="Calibri" w:cs="Calibri"/>
          <w:szCs w:val="22"/>
          <w:vertAlign w:val="subscript"/>
        </w:rPr>
        <w:t>2</w:t>
      </w:r>
      <w:r>
        <w:rPr>
          <w:rFonts w:ascii="Calibri" w:eastAsia="Calibri" w:hAnsi="Calibri" w:cs="Calibri"/>
          <w:szCs w:val="22"/>
        </w:rPr>
        <w:t xml:space="preserve"> na administrativnom području Grada Zadra</w:t>
      </w:r>
      <w:r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 xml:space="preserve">iznosi </w:t>
      </w:r>
      <w:r w:rsidR="00C41A89">
        <w:rPr>
          <w:rFonts w:ascii="Calibri" w:eastAsia="Calibri" w:hAnsi="Calibri" w:cs="Calibri"/>
          <w:szCs w:val="22"/>
        </w:rPr>
        <w:t>248</w:t>
      </w:r>
      <w:r>
        <w:rPr>
          <w:rFonts w:ascii="Calibri" w:eastAsia="Calibri" w:hAnsi="Calibri" w:cs="Calibri"/>
          <w:szCs w:val="22"/>
        </w:rPr>
        <w:t>.</w:t>
      </w:r>
      <w:r w:rsidR="00F6054F">
        <w:rPr>
          <w:rFonts w:ascii="Calibri" w:eastAsia="Calibri" w:hAnsi="Calibri" w:cs="Calibri"/>
          <w:szCs w:val="22"/>
        </w:rPr>
        <w:t>72</w:t>
      </w:r>
      <w:r w:rsidR="00901298">
        <w:rPr>
          <w:rFonts w:ascii="Calibri" w:eastAsia="Calibri" w:hAnsi="Calibri" w:cs="Calibri"/>
          <w:szCs w:val="22"/>
        </w:rPr>
        <w:t>2</w:t>
      </w:r>
      <w:r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t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>. Potrošnja energije sektora zgradarstva je veća od one sektora promet</w:t>
      </w:r>
      <w:r w:rsidR="00542582">
        <w:rPr>
          <w:rFonts w:ascii="Calibri" w:eastAsia="Calibri" w:hAnsi="Calibri" w:cs="Calibri"/>
          <w:szCs w:val="22"/>
        </w:rPr>
        <w:t>a</w:t>
      </w:r>
      <w:r w:rsidR="00C83D0B" w:rsidRPr="00946AE9">
        <w:rPr>
          <w:rFonts w:ascii="Calibri" w:eastAsia="Calibri" w:hAnsi="Calibri" w:cs="Calibri"/>
          <w:szCs w:val="22"/>
        </w:rPr>
        <w:t xml:space="preserve">, pa je i emisija sektora zgradarstva </w:t>
      </w:r>
      <w:r w:rsidR="001A543D">
        <w:rPr>
          <w:rFonts w:ascii="Calibri" w:eastAsia="Calibri" w:hAnsi="Calibri" w:cs="Calibri"/>
          <w:szCs w:val="22"/>
        </w:rPr>
        <w:t xml:space="preserve">s iznosom 142.596 </w:t>
      </w:r>
      <w:r w:rsidR="001A543D" w:rsidRPr="00946AE9">
        <w:rPr>
          <w:rFonts w:ascii="Calibri" w:eastAsia="Calibri" w:hAnsi="Calibri" w:cs="Calibri"/>
          <w:szCs w:val="22"/>
        </w:rPr>
        <w:t>t CO</w:t>
      </w:r>
      <w:r w:rsidR="001A543D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1A543D" w:rsidRPr="00946AE9"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veća</w:t>
      </w:r>
      <w:r w:rsidR="001A543D">
        <w:rPr>
          <w:rFonts w:ascii="Calibri" w:eastAsia="Calibri" w:hAnsi="Calibri" w:cs="Calibri"/>
          <w:szCs w:val="22"/>
        </w:rPr>
        <w:t xml:space="preserve"> od sektora prometa s iznosom </w:t>
      </w:r>
      <w:r w:rsidR="00C41A89">
        <w:rPr>
          <w:rFonts w:ascii="Calibri" w:eastAsia="Calibri" w:hAnsi="Calibri" w:cs="Calibri"/>
          <w:szCs w:val="22"/>
        </w:rPr>
        <w:t>103</w:t>
      </w:r>
      <w:r>
        <w:rPr>
          <w:rFonts w:ascii="Calibri" w:eastAsia="Calibri" w:hAnsi="Calibri" w:cs="Calibri"/>
          <w:szCs w:val="22"/>
        </w:rPr>
        <w:t>.</w:t>
      </w:r>
      <w:r w:rsidR="00F266DA">
        <w:rPr>
          <w:rFonts w:ascii="Calibri" w:eastAsia="Calibri" w:hAnsi="Calibri" w:cs="Calibri"/>
          <w:szCs w:val="22"/>
        </w:rPr>
        <w:t>022</w:t>
      </w:r>
      <w:r>
        <w:rPr>
          <w:rFonts w:ascii="Calibri" w:eastAsia="Calibri" w:hAnsi="Calibri" w:cs="Calibri"/>
          <w:szCs w:val="22"/>
        </w:rPr>
        <w:t xml:space="preserve"> </w:t>
      </w:r>
      <w:r w:rsidR="00C83D0B" w:rsidRPr="00946AE9">
        <w:rPr>
          <w:rFonts w:ascii="Calibri" w:eastAsia="Calibri" w:hAnsi="Calibri" w:cs="Calibri"/>
          <w:szCs w:val="22"/>
        </w:rPr>
        <w:t>t CO</w:t>
      </w:r>
      <w:r w:rsidR="00C83D0B" w:rsidRPr="00946AE9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946AE9">
        <w:rPr>
          <w:rFonts w:ascii="Calibri" w:eastAsia="Calibri" w:hAnsi="Calibri" w:cs="Calibri"/>
          <w:szCs w:val="22"/>
        </w:rPr>
        <w:t>.</w:t>
      </w:r>
    </w:p>
    <w:p w14:paraId="0CACAEA6" w14:textId="0CA19823" w:rsidR="00C83D0B" w:rsidRDefault="00C83D0B" w:rsidP="00535DE0">
      <w:pPr>
        <w:pStyle w:val="Opisslike"/>
      </w:pPr>
      <w:r>
        <w:t xml:space="preserve">Tablica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Tablica \* ARABIC </w:instrText>
      </w:r>
      <w:r w:rsidR="00482BED">
        <w:rPr>
          <w:noProof/>
        </w:rPr>
        <w:fldChar w:fldCharType="separate"/>
      </w:r>
      <w:r w:rsidR="00535DE0">
        <w:rPr>
          <w:noProof/>
        </w:rPr>
        <w:t>7</w:t>
      </w:r>
      <w:r w:rsidR="00482BED">
        <w:rPr>
          <w:noProof/>
        </w:rPr>
        <w:fldChar w:fldCharType="end"/>
      </w:r>
      <w:r w:rsidR="00451791">
        <w:rPr>
          <w:noProof/>
        </w:rPr>
        <w:t>:</w:t>
      </w:r>
      <w:r>
        <w:t xml:space="preserve"> </w:t>
      </w:r>
      <w:r w:rsidR="0097582A">
        <w:t>Emisije</w:t>
      </w:r>
      <w:r>
        <w:t xml:space="preserve"> CO</w:t>
      </w:r>
      <w:r>
        <w:rPr>
          <w:vertAlign w:val="subscript"/>
        </w:rPr>
        <w:t>2</w:t>
      </w:r>
      <w:r>
        <w:t xml:space="preserve"> po sektorima i energentima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613"/>
        <w:gridCol w:w="1429"/>
        <w:gridCol w:w="1503"/>
        <w:gridCol w:w="1604"/>
        <w:gridCol w:w="1694"/>
        <w:gridCol w:w="1779"/>
      </w:tblGrid>
      <w:tr w:rsidR="00C83D0B" w:rsidRPr="00F37FAF" w14:paraId="7398CC19" w14:textId="77777777" w:rsidTr="00264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vAlign w:val="center"/>
          </w:tcPr>
          <w:p w14:paraId="57B4C9A1" w14:textId="77777777" w:rsidR="00C83D0B" w:rsidRPr="00F37FAF" w:rsidRDefault="00C83D0B" w:rsidP="00FC33F7">
            <w:pPr>
              <w:jc w:val="center"/>
              <w:rPr>
                <w:rFonts w:cstheme="minorHAnsi"/>
              </w:rPr>
            </w:pPr>
            <w:r w:rsidRPr="00F37FAF">
              <w:rPr>
                <w:rFonts w:cstheme="minorHAnsi"/>
              </w:rPr>
              <w:t>Energent</w:t>
            </w:r>
          </w:p>
        </w:tc>
        <w:tc>
          <w:tcPr>
            <w:tcW w:w="6300" w:type="dxa"/>
            <w:gridSpan w:val="4"/>
            <w:vAlign w:val="center"/>
          </w:tcPr>
          <w:p w14:paraId="4DA80F96" w14:textId="77777777" w:rsidR="00C83D0B" w:rsidRPr="00F01217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Emisija CO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(tCO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)</w:t>
            </w:r>
          </w:p>
        </w:tc>
        <w:tc>
          <w:tcPr>
            <w:tcW w:w="1800" w:type="dxa"/>
            <w:vAlign w:val="center"/>
          </w:tcPr>
          <w:p w14:paraId="436ACF20" w14:textId="24D9E87B" w:rsidR="00C83D0B" w:rsidRPr="00F37FAF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7FAF">
              <w:rPr>
                <w:rFonts w:cstheme="minorHAnsi"/>
              </w:rPr>
              <w:t>Udio po energentima</w:t>
            </w:r>
            <w:r w:rsidR="00675B7B">
              <w:rPr>
                <w:rFonts w:cstheme="minorHAnsi"/>
              </w:rPr>
              <w:t xml:space="preserve"> (%)</w:t>
            </w:r>
          </w:p>
        </w:tc>
      </w:tr>
      <w:tr w:rsidR="00C83D0B" w:rsidRPr="00F37FAF" w14:paraId="321276C3" w14:textId="77777777" w:rsidTr="0026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vAlign w:val="center"/>
          </w:tcPr>
          <w:p w14:paraId="47DAD43E" w14:textId="77777777" w:rsidR="00C83D0B" w:rsidRPr="00F37FAF" w:rsidRDefault="00C83D0B" w:rsidP="00FC33F7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10D1D6D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37FAF">
              <w:rPr>
                <w:rFonts w:cstheme="minorHAnsi"/>
                <w:b/>
              </w:rPr>
              <w:t>Promet</w:t>
            </w:r>
          </w:p>
        </w:tc>
        <w:tc>
          <w:tcPr>
            <w:tcW w:w="1530" w:type="dxa"/>
            <w:vAlign w:val="center"/>
          </w:tcPr>
          <w:p w14:paraId="5F2E9C56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37FAF">
              <w:rPr>
                <w:rFonts w:cstheme="minorHAnsi"/>
                <w:b/>
              </w:rPr>
              <w:t>Javna rasvjeta</w:t>
            </w:r>
          </w:p>
        </w:tc>
        <w:tc>
          <w:tcPr>
            <w:tcW w:w="1620" w:type="dxa"/>
            <w:vAlign w:val="center"/>
          </w:tcPr>
          <w:p w14:paraId="1A3082DC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37FAF">
              <w:rPr>
                <w:rFonts w:cstheme="minorHAnsi"/>
                <w:b/>
              </w:rPr>
              <w:t>Zgradarstvo</w:t>
            </w:r>
          </w:p>
        </w:tc>
        <w:tc>
          <w:tcPr>
            <w:tcW w:w="1710" w:type="dxa"/>
            <w:vAlign w:val="center"/>
          </w:tcPr>
          <w:p w14:paraId="5218EFD0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37FAF">
              <w:rPr>
                <w:rFonts w:cstheme="minorHAnsi"/>
                <w:b/>
              </w:rPr>
              <w:t>Ukupno po energentima</w:t>
            </w:r>
          </w:p>
        </w:tc>
        <w:tc>
          <w:tcPr>
            <w:tcW w:w="1800" w:type="dxa"/>
            <w:vAlign w:val="center"/>
          </w:tcPr>
          <w:p w14:paraId="21B4D9C1" w14:textId="77777777" w:rsidR="00C83D0B" w:rsidRPr="00F37FA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687" w:rsidRPr="00F37FAF" w14:paraId="3688305E" w14:textId="77777777" w:rsidTr="0026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0B4938C" w14:textId="150B3E8B" w:rsidR="00065687" w:rsidRPr="00F37FAF" w:rsidRDefault="00065687" w:rsidP="00065687">
            <w:pPr>
              <w:jc w:val="center"/>
              <w:rPr>
                <w:rFonts w:cstheme="minorHAnsi"/>
              </w:rPr>
            </w:pPr>
            <w:r w:rsidRPr="00F37FAF">
              <w:rPr>
                <w:rFonts w:cstheme="minorHAnsi"/>
              </w:rPr>
              <w:t>Električna energija</w:t>
            </w:r>
          </w:p>
        </w:tc>
        <w:tc>
          <w:tcPr>
            <w:tcW w:w="1440" w:type="dxa"/>
            <w:vAlign w:val="center"/>
          </w:tcPr>
          <w:p w14:paraId="0A8D4751" w14:textId="4E50754C" w:rsidR="00065687" w:rsidRDefault="0016677E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530" w:type="dxa"/>
            <w:vAlign w:val="center"/>
          </w:tcPr>
          <w:p w14:paraId="68F59FA7" w14:textId="1C6CB73B" w:rsidR="00065687" w:rsidRDefault="00065687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3.105</w:t>
            </w:r>
            <w:r w:rsidR="004136B0">
              <w:rPr>
                <w:rFonts w:cstheme="minorHAnsi"/>
              </w:rPr>
              <w:t>,01</w:t>
            </w:r>
          </w:p>
        </w:tc>
        <w:tc>
          <w:tcPr>
            <w:tcW w:w="1620" w:type="dxa"/>
            <w:vAlign w:val="center"/>
          </w:tcPr>
          <w:p w14:paraId="31FAB079" w14:textId="50871E00" w:rsidR="00065687" w:rsidRDefault="00B67695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100.275</w:t>
            </w:r>
            <w:r w:rsidR="00B36C8F">
              <w:rPr>
                <w:rFonts w:cstheme="minorHAnsi"/>
              </w:rPr>
              <w:t>,4</w:t>
            </w:r>
            <w:r w:rsidR="004136B0">
              <w:rPr>
                <w:rFonts w:cstheme="minorHAnsi"/>
              </w:rPr>
              <w:t>3</w:t>
            </w:r>
          </w:p>
        </w:tc>
        <w:tc>
          <w:tcPr>
            <w:tcW w:w="1710" w:type="dxa"/>
            <w:vAlign w:val="center"/>
          </w:tcPr>
          <w:p w14:paraId="7950CD86" w14:textId="6A96B9C4" w:rsidR="00065687" w:rsidRPr="001A543D" w:rsidRDefault="00B67695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103.380</w:t>
            </w:r>
            <w:r w:rsidR="00B36C8F">
              <w:rPr>
                <w:rFonts w:cstheme="minorHAnsi"/>
                <w:b/>
              </w:rPr>
              <w:t>,4</w:t>
            </w:r>
            <w:r w:rsidR="004136B0">
              <w:rPr>
                <w:rFonts w:cstheme="minorHAnsi"/>
                <w:b/>
              </w:rPr>
              <w:t>4</w:t>
            </w:r>
          </w:p>
        </w:tc>
        <w:tc>
          <w:tcPr>
            <w:tcW w:w="1800" w:type="dxa"/>
            <w:vAlign w:val="center"/>
          </w:tcPr>
          <w:p w14:paraId="2BE97708" w14:textId="708DD40A" w:rsidR="00065687" w:rsidRDefault="00B67695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41,56</w:t>
            </w:r>
          </w:p>
        </w:tc>
      </w:tr>
      <w:tr w:rsidR="00065687" w:rsidRPr="00F37FAF" w14:paraId="22B4ED91" w14:textId="77777777" w:rsidTr="00E34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0962F2C8" w14:textId="5CE8285B" w:rsidR="00065687" w:rsidRPr="00F37FAF" w:rsidRDefault="00065687" w:rsidP="00065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Ekstra lako l</w:t>
            </w:r>
            <w:r w:rsidRPr="00F37FAF">
              <w:rPr>
                <w:rFonts w:cstheme="minorHAnsi"/>
              </w:rPr>
              <w:t>oživo ulje</w:t>
            </w:r>
          </w:p>
        </w:tc>
        <w:tc>
          <w:tcPr>
            <w:tcW w:w="1440" w:type="dxa"/>
          </w:tcPr>
          <w:p w14:paraId="34089143" w14:textId="03B7BC61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15A82">
              <w:rPr>
                <w:rFonts w:cstheme="minorHAnsi"/>
              </w:rPr>
              <w:t>/</w:t>
            </w:r>
          </w:p>
        </w:tc>
        <w:tc>
          <w:tcPr>
            <w:tcW w:w="1530" w:type="dxa"/>
          </w:tcPr>
          <w:p w14:paraId="47B9906E" w14:textId="3AC288CA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15A82">
              <w:rPr>
                <w:rFonts w:cstheme="minorHAnsi"/>
              </w:rPr>
              <w:t>/</w:t>
            </w:r>
          </w:p>
        </w:tc>
        <w:tc>
          <w:tcPr>
            <w:tcW w:w="1620" w:type="dxa"/>
            <w:vAlign w:val="center"/>
          </w:tcPr>
          <w:p w14:paraId="34E6A4AD" w14:textId="33619741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41.382</w:t>
            </w:r>
            <w:r w:rsidR="00B36C8F">
              <w:rPr>
                <w:rFonts w:cstheme="minorHAnsi"/>
              </w:rPr>
              <w:t>,3</w:t>
            </w:r>
            <w:r w:rsidR="004136B0">
              <w:rPr>
                <w:rFonts w:cstheme="minorHAnsi"/>
              </w:rPr>
              <w:t>2</w:t>
            </w:r>
          </w:p>
        </w:tc>
        <w:tc>
          <w:tcPr>
            <w:tcW w:w="1710" w:type="dxa"/>
            <w:vAlign w:val="center"/>
          </w:tcPr>
          <w:p w14:paraId="0F485D16" w14:textId="41F4668A" w:rsidR="00065687" w:rsidRPr="001A543D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41.382</w:t>
            </w:r>
            <w:r w:rsidR="00B36C8F">
              <w:rPr>
                <w:rFonts w:cstheme="minorHAnsi"/>
                <w:b/>
              </w:rPr>
              <w:t>,3</w:t>
            </w:r>
            <w:r w:rsidR="004136B0">
              <w:rPr>
                <w:rFonts w:cstheme="minorHAnsi"/>
                <w:b/>
              </w:rPr>
              <w:t>2</w:t>
            </w:r>
          </w:p>
        </w:tc>
        <w:tc>
          <w:tcPr>
            <w:tcW w:w="1800" w:type="dxa"/>
            <w:vAlign w:val="center"/>
          </w:tcPr>
          <w:p w14:paraId="6627DF78" w14:textId="31418142" w:rsidR="00065687" w:rsidRPr="00F37FAF" w:rsidRDefault="00B67695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16,64</w:t>
            </w:r>
          </w:p>
        </w:tc>
      </w:tr>
      <w:tr w:rsidR="00FE04CF" w:rsidRPr="00F37FAF" w14:paraId="1B3180FD" w14:textId="77777777" w:rsidTr="00E34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5E8C2393" w14:textId="552E18BD" w:rsidR="00FE04CF" w:rsidRPr="00F37FAF" w:rsidRDefault="00FE04CF" w:rsidP="00065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Ogrjevno drvo</w:t>
            </w:r>
          </w:p>
        </w:tc>
        <w:tc>
          <w:tcPr>
            <w:tcW w:w="1440" w:type="dxa"/>
            <w:vAlign w:val="center"/>
          </w:tcPr>
          <w:p w14:paraId="413D994A" w14:textId="698B1162" w:rsidR="00FE04CF" w:rsidRDefault="00FE04CF" w:rsidP="00B36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530" w:type="dxa"/>
            <w:vAlign w:val="center"/>
          </w:tcPr>
          <w:p w14:paraId="732E9262" w14:textId="1726B9F7" w:rsidR="00FE04CF" w:rsidRDefault="00FE04CF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620" w:type="dxa"/>
            <w:vAlign w:val="center"/>
          </w:tcPr>
          <w:p w14:paraId="5CB2A605" w14:textId="6477F8A7" w:rsidR="00FE04CF" w:rsidRDefault="00FE04CF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710" w:type="dxa"/>
            <w:vAlign w:val="center"/>
          </w:tcPr>
          <w:p w14:paraId="4C9807B9" w14:textId="43B8F8A5" w:rsidR="00FE04CF" w:rsidRDefault="00FE04CF" w:rsidP="0041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800" w:type="dxa"/>
            <w:vAlign w:val="center"/>
          </w:tcPr>
          <w:p w14:paraId="7F6D3259" w14:textId="2A27A976" w:rsidR="00FE04CF" w:rsidRDefault="00FE04CF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65687" w:rsidRPr="00F37FAF" w14:paraId="2F54ABD4" w14:textId="77777777" w:rsidTr="00E34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120A8787" w14:textId="6BCFFA68" w:rsidR="00065687" w:rsidRPr="00F37FAF" w:rsidRDefault="00065687" w:rsidP="00065687">
            <w:pPr>
              <w:jc w:val="center"/>
              <w:rPr>
                <w:rFonts w:cstheme="minorHAnsi"/>
              </w:rPr>
            </w:pPr>
            <w:r w:rsidRPr="00F37FAF">
              <w:rPr>
                <w:rFonts w:cstheme="minorHAnsi"/>
              </w:rPr>
              <w:t>UNP</w:t>
            </w:r>
          </w:p>
        </w:tc>
        <w:tc>
          <w:tcPr>
            <w:tcW w:w="1440" w:type="dxa"/>
            <w:vAlign w:val="center"/>
          </w:tcPr>
          <w:p w14:paraId="38FE1432" w14:textId="4007D5F5" w:rsidR="00065687" w:rsidRPr="00F37FAF" w:rsidRDefault="00065687" w:rsidP="00B36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36C8F">
              <w:rPr>
                <w:rFonts w:cstheme="minorHAnsi"/>
              </w:rPr>
              <w:t>4</w:t>
            </w:r>
            <w:r w:rsidR="004136B0">
              <w:rPr>
                <w:rFonts w:cstheme="minorHAnsi"/>
              </w:rPr>
              <w:t>1,53</w:t>
            </w:r>
          </w:p>
        </w:tc>
        <w:tc>
          <w:tcPr>
            <w:tcW w:w="1530" w:type="dxa"/>
            <w:vAlign w:val="center"/>
          </w:tcPr>
          <w:p w14:paraId="065986F4" w14:textId="579E9B64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620" w:type="dxa"/>
            <w:vAlign w:val="center"/>
          </w:tcPr>
          <w:p w14:paraId="339AE860" w14:textId="56E717BA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938</w:t>
            </w:r>
            <w:r w:rsidR="004136B0">
              <w:rPr>
                <w:rFonts w:cstheme="minorHAnsi"/>
              </w:rPr>
              <w:t>,19</w:t>
            </w:r>
          </w:p>
        </w:tc>
        <w:tc>
          <w:tcPr>
            <w:tcW w:w="1710" w:type="dxa"/>
            <w:vAlign w:val="center"/>
          </w:tcPr>
          <w:p w14:paraId="58D18B62" w14:textId="07A7E75B" w:rsidR="00065687" w:rsidRPr="00F37FAF" w:rsidRDefault="00065687" w:rsidP="00413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57AE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1</w:t>
            </w:r>
            <w:r w:rsidR="004136B0">
              <w:rPr>
                <w:rFonts w:cstheme="minorHAnsi"/>
                <w:b/>
              </w:rPr>
              <w:t>79,72</w:t>
            </w:r>
          </w:p>
        </w:tc>
        <w:tc>
          <w:tcPr>
            <w:tcW w:w="1800" w:type="dxa"/>
            <w:vAlign w:val="center"/>
          </w:tcPr>
          <w:p w14:paraId="79DD06A4" w14:textId="3FE58408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67695">
              <w:rPr>
                <w:rFonts w:cstheme="minorHAnsi"/>
              </w:rPr>
              <w:t>,47</w:t>
            </w:r>
          </w:p>
        </w:tc>
      </w:tr>
      <w:tr w:rsidR="00065687" w:rsidRPr="00F37FAF" w14:paraId="5CE960A6" w14:textId="77777777" w:rsidTr="0026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5E50AD5E" w14:textId="0E82480E" w:rsidR="00065687" w:rsidRPr="00F37FAF" w:rsidRDefault="00065687" w:rsidP="00065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F37FAF">
              <w:rPr>
                <w:rFonts w:cstheme="minorHAnsi"/>
              </w:rPr>
              <w:t>enzin</w:t>
            </w:r>
          </w:p>
        </w:tc>
        <w:tc>
          <w:tcPr>
            <w:tcW w:w="1440" w:type="dxa"/>
            <w:vAlign w:val="center"/>
          </w:tcPr>
          <w:p w14:paraId="5817E8AE" w14:textId="4F634F3F" w:rsidR="00065687" w:rsidRPr="00F37FAF" w:rsidRDefault="00B67695" w:rsidP="0041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56.03</w:t>
            </w:r>
            <w:r w:rsidR="004136B0">
              <w:rPr>
                <w:rFonts w:cstheme="minorHAnsi"/>
              </w:rPr>
              <w:t>8,70</w:t>
            </w:r>
          </w:p>
        </w:tc>
        <w:tc>
          <w:tcPr>
            <w:tcW w:w="1530" w:type="dxa"/>
            <w:vAlign w:val="center"/>
          </w:tcPr>
          <w:p w14:paraId="28464CE1" w14:textId="05DE8866" w:rsidR="00065687" w:rsidRPr="00F37FAF" w:rsidRDefault="00065687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620" w:type="dxa"/>
            <w:vAlign w:val="center"/>
          </w:tcPr>
          <w:p w14:paraId="2C001C45" w14:textId="3BA5944B" w:rsidR="00065687" w:rsidRPr="00F37FAF" w:rsidRDefault="00065687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710" w:type="dxa"/>
            <w:vAlign w:val="center"/>
          </w:tcPr>
          <w:p w14:paraId="1B495650" w14:textId="2FE3FEC7" w:rsidR="00065687" w:rsidRPr="00F37FAF" w:rsidRDefault="00B67695" w:rsidP="0041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56.03</w:t>
            </w:r>
            <w:r w:rsidR="004136B0">
              <w:rPr>
                <w:rFonts w:cstheme="minorHAnsi"/>
                <w:b/>
              </w:rPr>
              <w:t>8,70</w:t>
            </w:r>
          </w:p>
        </w:tc>
        <w:tc>
          <w:tcPr>
            <w:tcW w:w="1800" w:type="dxa"/>
            <w:vAlign w:val="center"/>
          </w:tcPr>
          <w:p w14:paraId="67810D55" w14:textId="58B1D86E" w:rsidR="00065687" w:rsidRPr="00F37FAF" w:rsidRDefault="00065687" w:rsidP="00B36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22,5</w:t>
            </w:r>
            <w:r w:rsidR="00B36C8F">
              <w:rPr>
                <w:rFonts w:cstheme="minorHAnsi"/>
              </w:rPr>
              <w:t>3</w:t>
            </w:r>
          </w:p>
        </w:tc>
      </w:tr>
      <w:tr w:rsidR="00065687" w:rsidRPr="00F37FAF" w14:paraId="1B8ABD78" w14:textId="77777777" w:rsidTr="0026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05B624C6" w14:textId="1B206D34" w:rsidR="00065687" w:rsidRPr="00F37FAF" w:rsidRDefault="00065687" w:rsidP="00065687">
            <w:pPr>
              <w:jc w:val="center"/>
              <w:rPr>
                <w:rFonts w:cstheme="minorHAnsi"/>
              </w:rPr>
            </w:pPr>
            <w:r w:rsidRPr="00F37FAF">
              <w:rPr>
                <w:rFonts w:cstheme="minorHAnsi"/>
              </w:rPr>
              <w:t>Dizel</w:t>
            </w:r>
          </w:p>
        </w:tc>
        <w:tc>
          <w:tcPr>
            <w:tcW w:w="1440" w:type="dxa"/>
            <w:vAlign w:val="center"/>
          </w:tcPr>
          <w:p w14:paraId="37AD79A0" w14:textId="25FFCB73" w:rsidR="00065687" w:rsidRPr="00F37FAF" w:rsidRDefault="00065687" w:rsidP="00B67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46.</w:t>
            </w:r>
            <w:r w:rsidR="00B67695">
              <w:rPr>
                <w:rFonts w:cstheme="minorHAnsi"/>
              </w:rPr>
              <w:t>741</w:t>
            </w:r>
            <w:r w:rsidR="004136B0">
              <w:rPr>
                <w:rFonts w:cstheme="minorHAnsi"/>
              </w:rPr>
              <w:t>,28</w:t>
            </w:r>
          </w:p>
        </w:tc>
        <w:tc>
          <w:tcPr>
            <w:tcW w:w="1530" w:type="dxa"/>
            <w:vAlign w:val="center"/>
          </w:tcPr>
          <w:p w14:paraId="151FC3B9" w14:textId="132350C9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620" w:type="dxa"/>
            <w:vAlign w:val="center"/>
          </w:tcPr>
          <w:p w14:paraId="7EA44674" w14:textId="4CDEDC5A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710" w:type="dxa"/>
            <w:vAlign w:val="center"/>
          </w:tcPr>
          <w:p w14:paraId="7F2FBD75" w14:textId="21355830" w:rsidR="00065687" w:rsidRPr="00F37FAF" w:rsidRDefault="00065687" w:rsidP="00B5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A543D">
              <w:rPr>
                <w:rFonts w:cstheme="minorHAnsi"/>
                <w:b/>
              </w:rPr>
              <w:t>46.</w:t>
            </w:r>
            <w:r w:rsidR="00B67695">
              <w:rPr>
                <w:rFonts w:cstheme="minorHAnsi"/>
                <w:b/>
              </w:rPr>
              <w:t>741</w:t>
            </w:r>
            <w:r w:rsidR="00B57AEE">
              <w:rPr>
                <w:rFonts w:cstheme="minorHAnsi"/>
                <w:b/>
              </w:rPr>
              <w:t>,</w:t>
            </w:r>
            <w:r w:rsidR="004136B0">
              <w:rPr>
                <w:rFonts w:cstheme="minorHAnsi"/>
                <w:b/>
              </w:rPr>
              <w:t>28</w:t>
            </w:r>
          </w:p>
        </w:tc>
        <w:tc>
          <w:tcPr>
            <w:tcW w:w="1800" w:type="dxa"/>
            <w:vAlign w:val="center"/>
          </w:tcPr>
          <w:p w14:paraId="6584324E" w14:textId="65D106CA" w:rsidR="00065687" w:rsidRPr="00F37FAF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67695">
              <w:rPr>
                <w:rFonts w:cstheme="minorHAnsi"/>
              </w:rPr>
              <w:t>8,79</w:t>
            </w:r>
          </w:p>
        </w:tc>
      </w:tr>
      <w:tr w:rsidR="00065687" w:rsidRPr="00F37FAF" w14:paraId="7876C7B4" w14:textId="77777777" w:rsidTr="0026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1D8315C0" w14:textId="1E68E131" w:rsidR="00065687" w:rsidRPr="00F37FAF" w:rsidRDefault="00065687" w:rsidP="00065687">
            <w:pPr>
              <w:jc w:val="center"/>
              <w:rPr>
                <w:rFonts w:cstheme="minorHAnsi"/>
              </w:rPr>
            </w:pPr>
            <w:r w:rsidRPr="00F37FAF">
              <w:rPr>
                <w:rFonts w:cstheme="minorHAnsi"/>
              </w:rPr>
              <w:t>UKUPNO</w:t>
            </w:r>
          </w:p>
        </w:tc>
        <w:tc>
          <w:tcPr>
            <w:tcW w:w="1440" w:type="dxa"/>
            <w:vAlign w:val="center"/>
          </w:tcPr>
          <w:p w14:paraId="48E6393F" w14:textId="39C8E062" w:rsidR="00065687" w:rsidRPr="00F37FAF" w:rsidRDefault="00065687" w:rsidP="0041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903554">
              <w:rPr>
                <w:rFonts w:cstheme="minorHAnsi"/>
                <w:b/>
              </w:rPr>
              <w:t>03.02</w:t>
            </w:r>
            <w:r w:rsidR="004136B0">
              <w:rPr>
                <w:rFonts w:cstheme="minorHAnsi"/>
                <w:b/>
              </w:rPr>
              <w:t>1,51</w:t>
            </w:r>
          </w:p>
        </w:tc>
        <w:tc>
          <w:tcPr>
            <w:tcW w:w="1530" w:type="dxa"/>
            <w:vAlign w:val="center"/>
          </w:tcPr>
          <w:p w14:paraId="432EFF34" w14:textId="4679FA60" w:rsidR="00065687" w:rsidRPr="00F37FAF" w:rsidRDefault="00065687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3.105</w:t>
            </w:r>
            <w:r w:rsidR="004136B0">
              <w:rPr>
                <w:rFonts w:cstheme="minorHAnsi"/>
                <w:b/>
              </w:rPr>
              <w:t>,01</w:t>
            </w:r>
          </w:p>
        </w:tc>
        <w:tc>
          <w:tcPr>
            <w:tcW w:w="1620" w:type="dxa"/>
            <w:vAlign w:val="center"/>
          </w:tcPr>
          <w:p w14:paraId="7D013525" w14:textId="6A54E312" w:rsidR="00065687" w:rsidRPr="00F37FAF" w:rsidRDefault="00065687" w:rsidP="0041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142.59</w:t>
            </w:r>
            <w:r w:rsidR="004136B0">
              <w:rPr>
                <w:rFonts w:cstheme="minorHAnsi"/>
                <w:b/>
              </w:rPr>
              <w:t>5,94</w:t>
            </w:r>
          </w:p>
        </w:tc>
        <w:tc>
          <w:tcPr>
            <w:tcW w:w="1710" w:type="dxa"/>
            <w:vAlign w:val="center"/>
          </w:tcPr>
          <w:p w14:paraId="3260C2AE" w14:textId="559810B7" w:rsidR="00065687" w:rsidRPr="00F37FAF" w:rsidRDefault="00065687" w:rsidP="00B36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248</w:t>
            </w:r>
            <w:r w:rsidRPr="00F37FAF">
              <w:rPr>
                <w:rFonts w:cstheme="minorHAnsi"/>
                <w:b/>
              </w:rPr>
              <w:t>.</w:t>
            </w:r>
            <w:r w:rsidR="00B67695">
              <w:rPr>
                <w:rFonts w:cstheme="minorHAnsi"/>
                <w:b/>
              </w:rPr>
              <w:t>72</w:t>
            </w:r>
            <w:r w:rsidR="004136B0">
              <w:rPr>
                <w:rFonts w:cstheme="minorHAnsi"/>
                <w:b/>
              </w:rPr>
              <w:t>2,46</w:t>
            </w:r>
          </w:p>
        </w:tc>
        <w:tc>
          <w:tcPr>
            <w:tcW w:w="1800" w:type="dxa"/>
            <w:vAlign w:val="center"/>
          </w:tcPr>
          <w:p w14:paraId="451958F7" w14:textId="0053802D" w:rsidR="00065687" w:rsidRPr="00F37FAF" w:rsidRDefault="00065687" w:rsidP="0006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37FAF">
              <w:rPr>
                <w:rFonts w:cstheme="minorHAnsi"/>
                <w:b/>
              </w:rPr>
              <w:t>100,00</w:t>
            </w:r>
          </w:p>
        </w:tc>
      </w:tr>
      <w:tr w:rsidR="00065687" w:rsidRPr="00F37FAF" w14:paraId="234AE3E3" w14:textId="77777777" w:rsidTr="0026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7FD84BA2" w14:textId="246636DD" w:rsidR="00065687" w:rsidRPr="00F37FAF" w:rsidRDefault="00065687" w:rsidP="00065687">
            <w:pPr>
              <w:jc w:val="center"/>
              <w:rPr>
                <w:rFonts w:cstheme="minorHAnsi"/>
              </w:rPr>
            </w:pPr>
            <w:r w:rsidRPr="00F37FAF">
              <w:rPr>
                <w:rFonts w:cstheme="minorHAnsi"/>
              </w:rPr>
              <w:t xml:space="preserve">Udio pojedinog sektora </w:t>
            </w:r>
            <w:r>
              <w:rPr>
                <w:rFonts w:cstheme="minorHAnsi"/>
              </w:rPr>
              <w:t>(</w:t>
            </w:r>
            <w:r w:rsidRPr="00F37FAF">
              <w:rPr>
                <w:rFonts w:cstheme="minorHAnsi"/>
              </w:rPr>
              <w:t>%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0" w:type="dxa"/>
            <w:vAlign w:val="center"/>
          </w:tcPr>
          <w:p w14:paraId="27DA80D0" w14:textId="45C61AE4" w:rsidR="00065687" w:rsidRPr="00F01217" w:rsidRDefault="00065687" w:rsidP="00B36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41,4</w:t>
            </w:r>
            <w:r w:rsidR="00B36C8F">
              <w:rPr>
                <w:rFonts w:cstheme="minorHAnsi"/>
                <w:b/>
              </w:rPr>
              <w:t>2</w:t>
            </w:r>
          </w:p>
        </w:tc>
        <w:tc>
          <w:tcPr>
            <w:tcW w:w="1530" w:type="dxa"/>
            <w:vAlign w:val="center"/>
          </w:tcPr>
          <w:p w14:paraId="048C61E4" w14:textId="6AFAA725" w:rsidR="00065687" w:rsidRPr="00F01217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1,25</w:t>
            </w:r>
          </w:p>
        </w:tc>
        <w:tc>
          <w:tcPr>
            <w:tcW w:w="1620" w:type="dxa"/>
            <w:vAlign w:val="center"/>
          </w:tcPr>
          <w:p w14:paraId="18940F65" w14:textId="5C027192" w:rsidR="00065687" w:rsidRPr="00F01217" w:rsidRDefault="00065687" w:rsidP="00B36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57,3</w:t>
            </w:r>
            <w:r w:rsidR="00B36C8F">
              <w:rPr>
                <w:rFonts w:cstheme="minorHAnsi"/>
                <w:b/>
              </w:rPr>
              <w:t>3</w:t>
            </w:r>
          </w:p>
        </w:tc>
        <w:tc>
          <w:tcPr>
            <w:tcW w:w="1710" w:type="dxa"/>
            <w:vAlign w:val="center"/>
          </w:tcPr>
          <w:p w14:paraId="031F4593" w14:textId="15A07156" w:rsidR="00065687" w:rsidRPr="00F01217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100,00</w:t>
            </w:r>
          </w:p>
        </w:tc>
        <w:tc>
          <w:tcPr>
            <w:tcW w:w="1800" w:type="dxa"/>
            <w:vAlign w:val="center"/>
          </w:tcPr>
          <w:p w14:paraId="61BCCE80" w14:textId="05F508FB" w:rsidR="00065687" w:rsidRPr="00F01217" w:rsidRDefault="00065687" w:rsidP="0006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01217">
              <w:rPr>
                <w:rFonts w:cstheme="minorHAnsi"/>
                <w:b/>
              </w:rPr>
              <w:t>100,00</w:t>
            </w:r>
          </w:p>
        </w:tc>
      </w:tr>
    </w:tbl>
    <w:p w14:paraId="0B154EB7" w14:textId="704FE9B9" w:rsidR="00C83D0B" w:rsidRDefault="00C83D0B" w:rsidP="00C83D0B">
      <w:pPr>
        <w:rPr>
          <w:noProof/>
          <w:highlight w:val="yellow"/>
          <w:lang w:val="en-US"/>
        </w:rPr>
      </w:pPr>
    </w:p>
    <w:p w14:paraId="44C645E8" w14:textId="7FB0B0F5" w:rsidR="009814AC" w:rsidRDefault="00175AA2" w:rsidP="00C83D0B">
      <w:pPr>
        <w:rPr>
          <w:noProof/>
          <w:highlight w:val="yellow"/>
          <w:lang w:val="en-US"/>
        </w:rPr>
      </w:pPr>
      <w:r>
        <w:rPr>
          <w:noProof/>
          <w:lang w:val="en-US"/>
        </w:rPr>
        <w:t xml:space="preserve">Na </w:t>
      </w:r>
      <w:r w:rsidR="00BA0D25">
        <w:rPr>
          <w:noProof/>
          <w:lang w:val="en-US"/>
        </w:rPr>
        <w:t>S</w:t>
      </w:r>
      <w:r>
        <w:rPr>
          <w:noProof/>
          <w:lang w:val="en-US"/>
        </w:rPr>
        <w:t>lici 5</w:t>
      </w:r>
      <w:r w:rsidR="009814AC" w:rsidRPr="009814AC">
        <w:rPr>
          <w:noProof/>
          <w:lang w:val="en-US"/>
        </w:rPr>
        <w:t xml:space="preserve"> vidi se da je električna energija energent s najvećim udjelom u ukupnim emisijama Baznog inventara. Emisija CO</w:t>
      </w:r>
      <w:r w:rsidR="009814AC" w:rsidRPr="00175AA2">
        <w:rPr>
          <w:noProof/>
          <w:vertAlign w:val="subscript"/>
          <w:lang w:val="en-US"/>
        </w:rPr>
        <w:t>2</w:t>
      </w:r>
      <w:r w:rsidR="009814AC" w:rsidRPr="009814AC">
        <w:rPr>
          <w:noProof/>
          <w:lang w:val="en-US"/>
        </w:rPr>
        <w:t xml:space="preserve"> iz potrošnje električne energije u 2010. godini iznosila je 103.</w:t>
      </w:r>
      <w:r w:rsidR="00903554">
        <w:rPr>
          <w:noProof/>
          <w:lang w:val="en-US"/>
        </w:rPr>
        <w:t>380</w:t>
      </w:r>
      <w:r w:rsidR="00BA0D25">
        <w:rPr>
          <w:noProof/>
          <w:lang w:val="en-US"/>
        </w:rPr>
        <w:t>,4</w:t>
      </w:r>
      <w:r w:rsidR="00B57AEE">
        <w:rPr>
          <w:noProof/>
          <w:lang w:val="en-US"/>
        </w:rPr>
        <w:t>4</w:t>
      </w:r>
      <w:r w:rsidR="009814AC" w:rsidRPr="009814AC">
        <w:rPr>
          <w:noProof/>
          <w:lang w:val="en-US"/>
        </w:rPr>
        <w:t xml:space="preserve"> t CO</w:t>
      </w:r>
      <w:r w:rsidR="009814AC" w:rsidRPr="00DF1BD7">
        <w:rPr>
          <w:noProof/>
          <w:vertAlign w:val="subscript"/>
          <w:lang w:val="en-US"/>
        </w:rPr>
        <w:t>2</w:t>
      </w:r>
      <w:r w:rsidR="009814AC" w:rsidRPr="009814AC">
        <w:rPr>
          <w:noProof/>
          <w:lang w:val="en-US"/>
        </w:rPr>
        <w:t>, što čini 4</w:t>
      </w:r>
      <w:r w:rsidR="00903554">
        <w:rPr>
          <w:noProof/>
          <w:lang w:val="en-US"/>
        </w:rPr>
        <w:t>1,56</w:t>
      </w:r>
      <w:r w:rsidR="009814AC" w:rsidRPr="009814AC">
        <w:rPr>
          <w:noProof/>
          <w:lang w:val="en-US"/>
        </w:rPr>
        <w:t xml:space="preserve"> % ukupne emisije Baznog inventara. Dominantni izvori emisija, osim električne energije, su benzin, dizel</w:t>
      </w:r>
      <w:r w:rsidR="005D3282">
        <w:rPr>
          <w:noProof/>
          <w:lang w:val="en-US"/>
        </w:rPr>
        <w:t xml:space="preserve"> i</w:t>
      </w:r>
      <w:r w:rsidR="009814AC" w:rsidRPr="009814AC">
        <w:rPr>
          <w:noProof/>
          <w:lang w:val="en-US"/>
        </w:rPr>
        <w:t xml:space="preserve"> ekstra lako loživo ulje </w:t>
      </w:r>
      <w:r w:rsidR="005D3282">
        <w:rPr>
          <w:noProof/>
          <w:lang w:val="en-US"/>
        </w:rPr>
        <w:t>dok je</w:t>
      </w:r>
      <w:r w:rsidR="009814AC" w:rsidRPr="009814AC">
        <w:rPr>
          <w:noProof/>
          <w:lang w:val="en-US"/>
        </w:rPr>
        <w:t xml:space="preserve"> ukapljeni naftni plin</w:t>
      </w:r>
      <w:r w:rsidR="005D3282">
        <w:rPr>
          <w:noProof/>
          <w:lang w:val="en-US"/>
        </w:rPr>
        <w:t xml:space="preserve"> zastupljen u najmanjoj mjeri</w:t>
      </w:r>
      <w:r w:rsidR="009814AC" w:rsidRPr="009814AC">
        <w:rPr>
          <w:noProof/>
          <w:lang w:val="en-US"/>
        </w:rPr>
        <w:t>. Najveći udio (57</w:t>
      </w:r>
      <w:r w:rsidR="00903554">
        <w:rPr>
          <w:noProof/>
          <w:lang w:val="en-US"/>
        </w:rPr>
        <w:t>,3</w:t>
      </w:r>
      <w:r w:rsidR="00BA0D25">
        <w:rPr>
          <w:noProof/>
          <w:lang w:val="en-US"/>
        </w:rPr>
        <w:t>3</w:t>
      </w:r>
      <w:r w:rsidR="009814AC" w:rsidRPr="009814AC">
        <w:rPr>
          <w:noProof/>
          <w:lang w:val="en-US"/>
        </w:rPr>
        <w:t xml:space="preserve"> %) u ukupnoj emisiji ima sektor zgradarstva. Emisije električne energije i ekstra lakog loživog ulja su najzastupljenije u tom sektoru. Osim sektora zgradarstva, dominantan izvor emisija je i sektor prometa koji ukupnim emisijama doprinosi s 4</w:t>
      </w:r>
      <w:r w:rsidR="00903554">
        <w:rPr>
          <w:noProof/>
          <w:lang w:val="en-US"/>
        </w:rPr>
        <w:t>1,4</w:t>
      </w:r>
      <w:r w:rsidR="00BA0D25">
        <w:rPr>
          <w:noProof/>
          <w:lang w:val="en-US"/>
        </w:rPr>
        <w:t>2</w:t>
      </w:r>
      <w:r w:rsidR="009814AC" w:rsidRPr="009814AC">
        <w:rPr>
          <w:noProof/>
          <w:lang w:val="en-US"/>
        </w:rPr>
        <w:t xml:space="preserve"> %. Emisije CO</w:t>
      </w:r>
      <w:r w:rsidR="009814AC" w:rsidRPr="009814AC">
        <w:rPr>
          <w:noProof/>
          <w:vertAlign w:val="subscript"/>
          <w:lang w:val="en-US"/>
        </w:rPr>
        <w:t>2</w:t>
      </w:r>
      <w:r w:rsidR="009814AC" w:rsidRPr="009814AC">
        <w:rPr>
          <w:noProof/>
          <w:lang w:val="en-US"/>
        </w:rPr>
        <w:t xml:space="preserve"> nastale potrošnjom benzina i dizela sektora prometa</w:t>
      </w:r>
      <w:r w:rsidR="009814AC">
        <w:rPr>
          <w:noProof/>
          <w:lang w:val="en-US"/>
        </w:rPr>
        <w:t xml:space="preserve"> iznose</w:t>
      </w:r>
      <w:r w:rsidR="009814AC" w:rsidRPr="009814AC">
        <w:rPr>
          <w:noProof/>
          <w:lang w:val="en-US"/>
        </w:rPr>
        <w:t xml:space="preserve"> 99,</w:t>
      </w:r>
      <w:r w:rsidR="00BA0D25">
        <w:rPr>
          <w:noProof/>
          <w:lang w:val="en-US"/>
        </w:rPr>
        <w:t>7</w:t>
      </w:r>
      <w:r w:rsidR="00123BE4">
        <w:rPr>
          <w:noProof/>
          <w:lang w:val="en-US"/>
        </w:rPr>
        <w:t>7</w:t>
      </w:r>
      <w:r w:rsidR="006216F3">
        <w:rPr>
          <w:noProof/>
          <w:lang w:val="en-US"/>
        </w:rPr>
        <w:t xml:space="preserve"> </w:t>
      </w:r>
      <w:r w:rsidR="009814AC" w:rsidRPr="009814AC">
        <w:rPr>
          <w:noProof/>
          <w:lang w:val="en-US"/>
        </w:rPr>
        <w:t>% emisija iz sektora prometa, a ostatak se odnosi na ukapljeni naftni plin.</w:t>
      </w:r>
    </w:p>
    <w:p w14:paraId="5E7D5371" w14:textId="4014AF21" w:rsidR="003F05C5" w:rsidRPr="00B2586A" w:rsidRDefault="00B65B41" w:rsidP="00065687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lastRenderedPageBreak/>
        <w:drawing>
          <wp:inline distT="0" distB="0" distL="0" distR="0" wp14:anchorId="519D11F2" wp14:editId="64DC82EA">
            <wp:extent cx="4578350" cy="4024236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82" cy="404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CB6BE" w14:textId="14776E9A" w:rsidR="00C83D0B" w:rsidRDefault="00C83D0B" w:rsidP="00535DE0">
      <w:pPr>
        <w:pStyle w:val="Opisslike"/>
      </w:pPr>
      <w:r w:rsidRPr="00462986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12DBC">
        <w:rPr>
          <w:noProof/>
        </w:rPr>
        <w:t>5</w:t>
      </w:r>
      <w:r w:rsidR="00482BED">
        <w:rPr>
          <w:noProof/>
        </w:rPr>
        <w:fldChar w:fldCharType="end"/>
      </w:r>
      <w:r w:rsidR="00451791" w:rsidRPr="00462986">
        <w:rPr>
          <w:noProof/>
        </w:rPr>
        <w:t>:</w:t>
      </w:r>
      <w:r w:rsidRPr="00462986">
        <w:t xml:space="preserve"> </w:t>
      </w:r>
      <w:r w:rsidR="0097582A" w:rsidRPr="00462986">
        <w:t>Emisije</w:t>
      </w:r>
      <w:r w:rsidRPr="00462986">
        <w:t xml:space="preserve"> CO</w:t>
      </w:r>
      <w:r w:rsidRPr="00462986">
        <w:rPr>
          <w:vertAlign w:val="subscript"/>
        </w:rPr>
        <w:t>2</w:t>
      </w:r>
      <w:r w:rsidRPr="00462986">
        <w:t xml:space="preserve"> </w:t>
      </w:r>
      <w:r w:rsidR="00F23958">
        <w:t>Baznog</w:t>
      </w:r>
      <w:r w:rsidR="00F23958" w:rsidRPr="00462986">
        <w:t xml:space="preserve"> </w:t>
      </w:r>
      <w:r w:rsidR="00462986">
        <w:t>inventara po energentima</w:t>
      </w:r>
    </w:p>
    <w:p w14:paraId="6F907B25" w14:textId="642AAE4E" w:rsidR="00175AA2" w:rsidRPr="00175AA2" w:rsidRDefault="00B65B41" w:rsidP="00D42D1B">
      <w:pPr>
        <w:jc w:val="center"/>
      </w:pPr>
      <w:r>
        <w:rPr>
          <w:noProof/>
          <w:lang w:eastAsia="hr-HR"/>
        </w:rPr>
        <w:drawing>
          <wp:inline distT="0" distB="0" distL="0" distR="0" wp14:anchorId="78C6BEB8" wp14:editId="14904C3A">
            <wp:extent cx="4626378" cy="2899410"/>
            <wp:effectExtent l="0" t="0" r="317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184" cy="2906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93420" w14:textId="0444A776" w:rsidR="00653E5E" w:rsidRPr="00B2586A" w:rsidRDefault="00653E5E" w:rsidP="00C64964">
      <w:pPr>
        <w:jc w:val="center"/>
        <w:rPr>
          <w:rFonts w:ascii="Calibri" w:eastAsia="Calibri" w:hAnsi="Calibri" w:cs="Calibri"/>
          <w:highlight w:val="yellow"/>
        </w:rPr>
      </w:pPr>
    </w:p>
    <w:p w14:paraId="309E3673" w14:textId="6E93D129" w:rsidR="00C64964" w:rsidRDefault="00C83D0B" w:rsidP="00535DE0">
      <w:pPr>
        <w:pStyle w:val="Opisslike"/>
        <w:rPr>
          <w:rFonts w:ascii="Calibri" w:eastAsia="Calibri" w:hAnsi="Calibri" w:cs="Calibri"/>
          <w:highlight w:val="yellow"/>
        </w:rPr>
      </w:pPr>
      <w:r w:rsidRPr="00462986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12DBC">
        <w:rPr>
          <w:noProof/>
        </w:rPr>
        <w:t>6</w:t>
      </w:r>
      <w:r w:rsidR="00482BED">
        <w:rPr>
          <w:noProof/>
        </w:rPr>
        <w:fldChar w:fldCharType="end"/>
      </w:r>
      <w:r w:rsidR="00451791" w:rsidRPr="00462986">
        <w:rPr>
          <w:noProof/>
        </w:rPr>
        <w:t>:</w:t>
      </w:r>
      <w:r w:rsidRPr="00462986">
        <w:t xml:space="preserve"> </w:t>
      </w:r>
      <w:r w:rsidR="0097582A" w:rsidRPr="00462986">
        <w:t>Emisije</w:t>
      </w:r>
      <w:r w:rsidRPr="00462986">
        <w:t xml:space="preserve"> CO</w:t>
      </w:r>
      <w:r w:rsidRPr="00462986">
        <w:rPr>
          <w:vertAlign w:val="subscript"/>
        </w:rPr>
        <w:t>2</w:t>
      </w:r>
      <w:r w:rsidRPr="00462986">
        <w:t xml:space="preserve"> </w:t>
      </w:r>
      <w:r w:rsidR="00F23958">
        <w:t>Baznog</w:t>
      </w:r>
      <w:r w:rsidR="00F23958" w:rsidRPr="00462986">
        <w:t xml:space="preserve"> </w:t>
      </w:r>
      <w:r w:rsidRPr="00462986">
        <w:t>inventara po sektorima</w:t>
      </w:r>
      <w:r w:rsidR="00C64964">
        <w:rPr>
          <w:rFonts w:ascii="Calibri" w:eastAsia="Calibri" w:hAnsi="Calibri" w:cs="Calibri"/>
          <w:highlight w:val="yellow"/>
        </w:rPr>
        <w:br w:type="page"/>
      </w:r>
    </w:p>
    <w:p w14:paraId="209E3C46" w14:textId="464A9CB1" w:rsidR="00C83D0B" w:rsidRPr="002864CD" w:rsidRDefault="00C83D0B" w:rsidP="00E326D8">
      <w:pPr>
        <w:pStyle w:val="Naslov1"/>
        <w:rPr>
          <w:color w:val="4F81BD"/>
        </w:rPr>
      </w:pPr>
      <w:bookmarkStart w:id="3" w:name="_Toc35595979"/>
      <w:r w:rsidRPr="002864CD">
        <w:lastRenderedPageBreak/>
        <w:t>Kontrolni inventar emisija (MEI)</w:t>
      </w:r>
      <w:bookmarkEnd w:id="3"/>
      <w:r w:rsidR="006B25A1">
        <w:t xml:space="preserve"> 2017. godine</w:t>
      </w:r>
    </w:p>
    <w:p w14:paraId="717B01EC" w14:textId="77777777" w:rsidR="00C83D0B" w:rsidRPr="002864CD" w:rsidRDefault="00C83D0B" w:rsidP="00C83D0B"/>
    <w:p w14:paraId="19D34B66" w14:textId="77777777" w:rsidR="009814AC" w:rsidRPr="00946AE9" w:rsidRDefault="00C83D0B" w:rsidP="009814AC">
      <w:pPr>
        <w:rPr>
          <w:rFonts w:ascii="Calibri" w:eastAsia="Calibri" w:hAnsi="Calibri" w:cs="Calibri"/>
          <w:szCs w:val="22"/>
        </w:rPr>
      </w:pPr>
      <w:r w:rsidRPr="002864CD">
        <w:rPr>
          <w:rFonts w:ascii="Calibri" w:eastAsia="Calibri" w:hAnsi="Calibri" w:cs="Calibri"/>
          <w:szCs w:val="22"/>
        </w:rPr>
        <w:t>Kontrolni inventar emisija CO</w:t>
      </w:r>
      <w:r w:rsidRPr="002864CD">
        <w:rPr>
          <w:rFonts w:ascii="Calibri" w:eastAsia="Calibri" w:hAnsi="Calibri" w:cs="Calibri"/>
          <w:szCs w:val="22"/>
          <w:vertAlign w:val="subscript"/>
        </w:rPr>
        <w:t>2</w:t>
      </w:r>
      <w:r w:rsidRPr="002864CD">
        <w:rPr>
          <w:rFonts w:ascii="Calibri" w:eastAsia="Calibri" w:hAnsi="Calibri" w:cs="Calibri"/>
          <w:szCs w:val="22"/>
        </w:rPr>
        <w:t xml:space="preserve"> </w:t>
      </w:r>
      <w:r w:rsidR="007E328E">
        <w:rPr>
          <w:rFonts w:ascii="Calibri" w:eastAsia="Calibri" w:hAnsi="Calibri" w:cs="Calibri"/>
          <w:szCs w:val="22"/>
        </w:rPr>
        <w:t>G</w:t>
      </w:r>
      <w:r w:rsidRPr="002864CD">
        <w:rPr>
          <w:rFonts w:ascii="Calibri" w:eastAsia="Calibri" w:hAnsi="Calibri" w:cs="Calibri"/>
          <w:szCs w:val="22"/>
        </w:rPr>
        <w:t xml:space="preserve">rada </w:t>
      </w:r>
      <w:r w:rsidR="002864CD" w:rsidRPr="002864CD">
        <w:rPr>
          <w:rFonts w:ascii="Calibri" w:eastAsia="Calibri" w:hAnsi="Calibri" w:cs="Calibri"/>
          <w:szCs w:val="22"/>
        </w:rPr>
        <w:t>Zadra</w:t>
      </w:r>
      <w:r w:rsidRPr="002864CD">
        <w:rPr>
          <w:rFonts w:ascii="Calibri" w:eastAsia="Calibri" w:hAnsi="Calibri" w:cs="Calibri"/>
          <w:szCs w:val="22"/>
        </w:rPr>
        <w:t xml:space="preserve"> izrađen je za 201</w:t>
      </w:r>
      <w:r w:rsidR="002864CD" w:rsidRPr="002864CD">
        <w:rPr>
          <w:rFonts w:ascii="Calibri" w:eastAsia="Calibri" w:hAnsi="Calibri" w:cs="Calibri"/>
          <w:szCs w:val="22"/>
        </w:rPr>
        <w:t>7</w:t>
      </w:r>
      <w:r w:rsidRPr="002864CD">
        <w:rPr>
          <w:rFonts w:ascii="Calibri" w:eastAsia="Calibri" w:hAnsi="Calibri" w:cs="Calibri"/>
          <w:szCs w:val="22"/>
        </w:rPr>
        <w:t>. godinu koja je</w:t>
      </w:r>
      <w:r w:rsidR="009814AC">
        <w:rPr>
          <w:rFonts w:ascii="Calibri" w:eastAsia="Calibri" w:hAnsi="Calibri" w:cs="Calibri"/>
          <w:szCs w:val="22"/>
        </w:rPr>
        <w:t xml:space="preserve"> odabrana kao kontrolna godina. </w:t>
      </w:r>
      <w:r w:rsidR="007E328E">
        <w:rPr>
          <w:rFonts w:ascii="Calibri" w:eastAsia="Calibri" w:hAnsi="Calibri" w:cs="Calibri"/>
          <w:szCs w:val="22"/>
        </w:rPr>
        <w:t>Kontrolni i</w:t>
      </w:r>
      <w:r w:rsidRPr="002864CD">
        <w:rPr>
          <w:rFonts w:ascii="Calibri" w:eastAsia="Calibri" w:hAnsi="Calibri" w:cs="Calibri"/>
          <w:szCs w:val="22"/>
        </w:rPr>
        <w:t>nventar je obuhvatio tri sektora finalne potrošnje energije</w:t>
      </w:r>
      <w:r w:rsidR="007E328E">
        <w:rPr>
          <w:rFonts w:ascii="Calibri" w:eastAsia="Calibri" w:hAnsi="Calibri" w:cs="Calibri"/>
          <w:szCs w:val="22"/>
        </w:rPr>
        <w:t xml:space="preserve"> na administrativnom području Grada Zadra</w:t>
      </w:r>
      <w:r w:rsidRPr="002864CD">
        <w:rPr>
          <w:rFonts w:ascii="Calibri" w:eastAsia="Calibri" w:hAnsi="Calibri" w:cs="Calibri"/>
          <w:szCs w:val="22"/>
        </w:rPr>
        <w:t xml:space="preserve">: zgradarstvo, promet i javnu rasvjetu, a u skladu s klasifikacijom sektora prema preporukama Europske komisije. </w:t>
      </w:r>
      <w:r w:rsidR="009814AC" w:rsidRPr="00946AE9">
        <w:rPr>
          <w:rFonts w:ascii="Calibri" w:eastAsia="Calibri" w:hAnsi="Calibri" w:cs="Calibri"/>
          <w:szCs w:val="22"/>
        </w:rPr>
        <w:t>Proračunom su obuhvaćene izravne emisije (iz izgaranja goriva) i neizravne emisije (iz potrošnje električne energije) koje su posljedica ljudskih djelatnosti.</w:t>
      </w:r>
    </w:p>
    <w:p w14:paraId="51A21DC7" w14:textId="38FC1382" w:rsidR="00C83D0B" w:rsidRPr="009814AC" w:rsidRDefault="00C83D0B" w:rsidP="009814AC">
      <w:pPr>
        <w:rPr>
          <w:rFonts w:ascii="Calibri" w:eastAsia="Calibri" w:hAnsi="Calibri" w:cs="Calibri"/>
          <w:szCs w:val="22"/>
        </w:rPr>
      </w:pPr>
      <w:r w:rsidRPr="002864CD">
        <w:rPr>
          <w:rFonts w:ascii="Calibri" w:eastAsia="Calibri" w:hAnsi="Calibri" w:cs="Calibri"/>
          <w:szCs w:val="22"/>
        </w:rPr>
        <w:t>Kontrolni inventar emisija CO</w:t>
      </w:r>
      <w:r w:rsidRPr="002864CD">
        <w:rPr>
          <w:rFonts w:ascii="Calibri" w:eastAsia="Calibri" w:hAnsi="Calibri" w:cs="Calibri"/>
          <w:szCs w:val="22"/>
          <w:vertAlign w:val="subscript"/>
        </w:rPr>
        <w:t>2</w:t>
      </w:r>
      <w:r w:rsidRPr="002864CD">
        <w:rPr>
          <w:rFonts w:ascii="Calibri" w:eastAsia="Calibri" w:hAnsi="Calibri" w:cs="Calibri"/>
          <w:szCs w:val="22"/>
        </w:rPr>
        <w:t xml:space="preserve"> izrađen je prema protokolu Međuvladinog tijela za klimatske promjene (engl. Intergovernmental Panel on Climate Change - IPCC) kao izvršnog tijela Programa </w:t>
      </w:r>
      <w:r w:rsidR="00CC3216" w:rsidRPr="002864CD">
        <w:rPr>
          <w:rFonts w:ascii="Calibri" w:eastAsia="Calibri" w:hAnsi="Calibri" w:cs="Calibri"/>
          <w:szCs w:val="22"/>
        </w:rPr>
        <w:t xml:space="preserve">Ujedinjenih naroda </w:t>
      </w:r>
      <w:r w:rsidRPr="002864CD">
        <w:rPr>
          <w:rFonts w:ascii="Calibri" w:eastAsia="Calibri" w:hAnsi="Calibri" w:cs="Calibri"/>
          <w:szCs w:val="22"/>
        </w:rPr>
        <w:t>za okoliš (UNEP) i Svjetske meteorološke organizacije (WMO) u provođenju Okvirne konvencije Ujedinjenih naroda o promjeni klime (engl. United Nation Framework Convention on Climate Change - UNFCCC). Hrvatska se ratificiranjem protokola iz Kyota 2007. godine obv</w:t>
      </w:r>
      <w:r w:rsidR="00946AE9" w:rsidRPr="002864CD">
        <w:rPr>
          <w:rFonts w:ascii="Calibri" w:eastAsia="Calibri" w:hAnsi="Calibri" w:cs="Calibri"/>
          <w:szCs w:val="22"/>
        </w:rPr>
        <w:t>ezala na prać</w:t>
      </w:r>
      <w:r w:rsidRPr="002864CD">
        <w:rPr>
          <w:rFonts w:ascii="Calibri" w:eastAsia="Calibri" w:hAnsi="Calibri" w:cs="Calibri"/>
          <w:szCs w:val="22"/>
        </w:rPr>
        <w:t xml:space="preserve">enje i izvještavanje o emisijama </w:t>
      </w:r>
      <w:r w:rsidR="00946AE9" w:rsidRPr="002864CD">
        <w:rPr>
          <w:rFonts w:ascii="Calibri" w:eastAsia="Calibri" w:hAnsi="Calibri" w:cs="Calibri"/>
          <w:szCs w:val="22"/>
        </w:rPr>
        <w:t>onečišćujućih</w:t>
      </w:r>
      <w:r w:rsidRPr="002864CD">
        <w:rPr>
          <w:rFonts w:ascii="Calibri" w:eastAsia="Calibri" w:hAnsi="Calibri" w:cs="Calibri"/>
          <w:szCs w:val="22"/>
        </w:rPr>
        <w:t xml:space="preserve"> tvari u atmosferu prema IPCC protokolu</w:t>
      </w:r>
      <w:r w:rsidR="00CC3216" w:rsidRPr="002864CD">
        <w:rPr>
          <w:rFonts w:ascii="Calibri" w:eastAsia="Calibri" w:hAnsi="Calibri" w:cs="Calibri"/>
          <w:szCs w:val="22"/>
        </w:rPr>
        <w:t xml:space="preserve"> </w:t>
      </w:r>
      <w:r w:rsidRPr="002864CD">
        <w:rPr>
          <w:rFonts w:ascii="Calibri" w:eastAsia="Calibri" w:hAnsi="Calibri" w:cs="Calibri"/>
          <w:szCs w:val="22"/>
        </w:rPr>
        <w:t>pa je on kao nacionalno priznat protokol korišten i za izradu ovog Kontrolnog inventara emisija CO</w:t>
      </w:r>
      <w:r w:rsidRPr="002864CD">
        <w:rPr>
          <w:rFonts w:ascii="Calibri" w:eastAsia="Calibri" w:hAnsi="Calibri" w:cs="Calibri"/>
          <w:szCs w:val="22"/>
          <w:vertAlign w:val="subscript"/>
        </w:rPr>
        <w:t>2</w:t>
      </w:r>
      <w:r w:rsidRPr="002864CD">
        <w:rPr>
          <w:rFonts w:ascii="Calibri" w:eastAsia="Calibri" w:hAnsi="Calibri" w:cs="Calibri"/>
          <w:szCs w:val="22"/>
        </w:rPr>
        <w:t>. Kako za proračun neizravnih emisija od strane IPCC-a nije predložena metodologija, ona je razvijena u sklopu izrade ovog Inventara.</w:t>
      </w:r>
    </w:p>
    <w:p w14:paraId="535D4996" w14:textId="77777777" w:rsidR="00C83D0B" w:rsidRPr="00112DC7" w:rsidRDefault="00C83D0B" w:rsidP="00E326D8">
      <w:pPr>
        <w:pStyle w:val="Naslov2"/>
      </w:pPr>
      <w:r w:rsidRPr="00112DC7">
        <w:t>Kontrolni inventar emisija CO</w:t>
      </w:r>
      <w:r w:rsidRPr="00E326D8">
        <w:rPr>
          <w:vertAlign w:val="subscript"/>
        </w:rPr>
        <w:t>2</w:t>
      </w:r>
      <w:r w:rsidRPr="00112DC7">
        <w:t xml:space="preserve"> iz sektora zgradarstva</w:t>
      </w:r>
    </w:p>
    <w:p w14:paraId="3CDCE7B8" w14:textId="07FA7051" w:rsidR="00C83D0B" w:rsidRDefault="00C83D0B" w:rsidP="00C83D0B"/>
    <w:p w14:paraId="26DDE5BA" w14:textId="29C1C4E3" w:rsidR="006B25A1" w:rsidRPr="006B25A1" w:rsidRDefault="006B25A1" w:rsidP="006B25A1">
      <w:r w:rsidRPr="006B25A1">
        <w:t xml:space="preserve">U </w:t>
      </w:r>
      <w:r w:rsidR="00620616">
        <w:t>T</w:t>
      </w:r>
      <w:r w:rsidRPr="006B25A1">
        <w:t xml:space="preserve">ablici </w:t>
      </w:r>
      <w:r w:rsidR="00620616">
        <w:t>8</w:t>
      </w:r>
      <w:r w:rsidRPr="006B25A1">
        <w:t xml:space="preserve"> dan je sažeti prikaz parametara potrošnje energije u sektoru zgradarstva na temelju kojih je izračunat </w:t>
      </w:r>
      <w:r w:rsidR="007E328E">
        <w:t>K</w:t>
      </w:r>
      <w:r w:rsidRPr="006B25A1">
        <w:t>ontrolni inventar emisija za 201</w:t>
      </w:r>
      <w:r w:rsidR="007E328E">
        <w:t>7</w:t>
      </w:r>
      <w:r w:rsidRPr="006B25A1">
        <w:t>. godinu.</w:t>
      </w:r>
    </w:p>
    <w:p w14:paraId="29C2DCC6" w14:textId="09AB0C50" w:rsidR="006B25A1" w:rsidRPr="006B25A1" w:rsidRDefault="006B25A1" w:rsidP="006B25A1">
      <w:pPr>
        <w:keepNext/>
        <w:jc w:val="left"/>
        <w:rPr>
          <w:rFonts w:eastAsiaTheme="minorHAnsi"/>
          <w:b/>
          <w:iCs/>
          <w:sz w:val="20"/>
          <w:szCs w:val="18"/>
        </w:rPr>
      </w:pPr>
      <w:r w:rsidRPr="006B25A1">
        <w:rPr>
          <w:rFonts w:eastAsiaTheme="minorHAnsi"/>
          <w:b/>
          <w:iCs/>
          <w:sz w:val="20"/>
          <w:szCs w:val="18"/>
        </w:rPr>
        <w:t xml:space="preserve">Tablica </w:t>
      </w:r>
      <w:r w:rsidR="00620616">
        <w:rPr>
          <w:rFonts w:eastAsiaTheme="minorHAnsi"/>
          <w:b/>
          <w:iCs/>
          <w:sz w:val="20"/>
          <w:szCs w:val="18"/>
        </w:rPr>
        <w:t>8</w:t>
      </w:r>
      <w:r w:rsidRPr="006B25A1">
        <w:rPr>
          <w:rFonts w:eastAsiaTheme="minorHAnsi"/>
          <w:b/>
          <w:iCs/>
          <w:sz w:val="20"/>
          <w:szCs w:val="18"/>
        </w:rPr>
        <w:t>: Potrošnja energije sektora</w:t>
      </w:r>
      <w:r>
        <w:rPr>
          <w:rFonts w:eastAsiaTheme="minorHAnsi"/>
          <w:b/>
          <w:iCs/>
          <w:sz w:val="20"/>
          <w:szCs w:val="18"/>
        </w:rPr>
        <w:t xml:space="preserve"> zgradarstva Grada Zadra u 2017</w:t>
      </w:r>
      <w:r w:rsidRPr="006B25A1">
        <w:rPr>
          <w:rFonts w:eastAsiaTheme="minorHAnsi"/>
          <w:b/>
          <w:iCs/>
          <w:sz w:val="20"/>
          <w:szCs w:val="18"/>
        </w:rPr>
        <w:t>. godini</w:t>
      </w:r>
    </w:p>
    <w:tbl>
      <w:tblPr>
        <w:tblStyle w:val="GridTable4-Accent21"/>
        <w:tblW w:w="9943" w:type="dxa"/>
        <w:jc w:val="center"/>
        <w:tblLook w:val="04A0" w:firstRow="1" w:lastRow="0" w:firstColumn="1" w:lastColumn="0" w:noHBand="0" w:noVBand="1"/>
      </w:tblPr>
      <w:tblGrid>
        <w:gridCol w:w="1847"/>
        <w:gridCol w:w="1132"/>
        <w:gridCol w:w="1031"/>
        <w:gridCol w:w="1031"/>
        <w:gridCol w:w="1132"/>
        <w:gridCol w:w="1031"/>
        <w:gridCol w:w="1604"/>
        <w:gridCol w:w="1135"/>
      </w:tblGrid>
      <w:tr w:rsidR="005E4906" w:rsidRPr="00F56CC3" w14:paraId="3667D2C0" w14:textId="77777777" w:rsidTr="005E4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Merge w:val="restart"/>
            <w:vAlign w:val="center"/>
          </w:tcPr>
          <w:p w14:paraId="339C675B" w14:textId="391B5D85" w:rsidR="005E4906" w:rsidRPr="00F56CC3" w:rsidRDefault="005E4906" w:rsidP="00FB45CD">
            <w:pPr>
              <w:tabs>
                <w:tab w:val="left" w:pos="1371"/>
              </w:tabs>
              <w:jc w:val="center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Kategorija</w:t>
            </w:r>
          </w:p>
        </w:tc>
        <w:tc>
          <w:tcPr>
            <w:tcW w:w="8096" w:type="dxa"/>
            <w:gridSpan w:val="7"/>
          </w:tcPr>
          <w:p w14:paraId="1235D638" w14:textId="275C8E54" w:rsidR="005E4906" w:rsidRPr="00F56CC3" w:rsidRDefault="005E4906" w:rsidP="00FB45CD">
            <w:pPr>
              <w:tabs>
                <w:tab w:val="left" w:pos="1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Potrošnja energije (MWh)</w:t>
            </w:r>
          </w:p>
        </w:tc>
      </w:tr>
      <w:tr w:rsidR="009814AC" w:rsidRPr="00F56CC3" w14:paraId="08A712B9" w14:textId="77777777" w:rsidTr="005E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Merge/>
            <w:vAlign w:val="center"/>
          </w:tcPr>
          <w:p w14:paraId="480CD043" w14:textId="77777777" w:rsidR="009814AC" w:rsidRPr="00F56CC3" w:rsidRDefault="009814AC" w:rsidP="009814AC">
            <w:pPr>
              <w:tabs>
                <w:tab w:val="left" w:pos="1371"/>
              </w:tabs>
              <w:jc w:val="center"/>
              <w:rPr>
                <w:rFonts w:cstheme="minorHAnsi"/>
                <w:sz w:val="20"/>
                <w:lang w:val="hr-HR"/>
              </w:rPr>
            </w:pPr>
          </w:p>
        </w:tc>
        <w:tc>
          <w:tcPr>
            <w:tcW w:w="1132" w:type="dxa"/>
            <w:vAlign w:val="center"/>
          </w:tcPr>
          <w:p w14:paraId="4857B60B" w14:textId="0CB40775" w:rsidR="009814AC" w:rsidRPr="00F56CC3" w:rsidRDefault="009814AC" w:rsidP="009814AC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F56CC3">
              <w:rPr>
                <w:rFonts w:cstheme="minorHAnsi"/>
                <w:sz w:val="20"/>
                <w:lang w:val="hr-HR"/>
              </w:rPr>
              <w:t>Električna energija</w:t>
            </w:r>
          </w:p>
        </w:tc>
        <w:tc>
          <w:tcPr>
            <w:tcW w:w="1031" w:type="dxa"/>
            <w:vAlign w:val="center"/>
          </w:tcPr>
          <w:p w14:paraId="2E9E833E" w14:textId="0CB9A0BA" w:rsidR="009814AC" w:rsidRPr="00F56CC3" w:rsidRDefault="009814AC" w:rsidP="009814AC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Ekstra lako loživo ulje</w:t>
            </w:r>
          </w:p>
        </w:tc>
        <w:tc>
          <w:tcPr>
            <w:tcW w:w="1031" w:type="dxa"/>
            <w:vAlign w:val="center"/>
          </w:tcPr>
          <w:p w14:paraId="121DA064" w14:textId="77777777" w:rsidR="009814AC" w:rsidRPr="00F56CC3" w:rsidRDefault="009814AC" w:rsidP="009814AC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Prirodni plin</w:t>
            </w:r>
          </w:p>
        </w:tc>
        <w:tc>
          <w:tcPr>
            <w:tcW w:w="1132" w:type="dxa"/>
            <w:vAlign w:val="center"/>
          </w:tcPr>
          <w:p w14:paraId="159EDF04" w14:textId="419A7E8C" w:rsidR="009814AC" w:rsidRPr="00F56CC3" w:rsidRDefault="009814AC" w:rsidP="009814AC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Ogrjevno drvo</w:t>
            </w:r>
          </w:p>
        </w:tc>
        <w:tc>
          <w:tcPr>
            <w:tcW w:w="1031" w:type="dxa"/>
            <w:vAlign w:val="center"/>
          </w:tcPr>
          <w:p w14:paraId="0ADE6942" w14:textId="5EF5A82F" w:rsidR="009814AC" w:rsidRPr="00F56CC3" w:rsidRDefault="009814AC" w:rsidP="009814AC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Ukapljeni naftni plin</w:t>
            </w:r>
          </w:p>
        </w:tc>
        <w:tc>
          <w:tcPr>
            <w:tcW w:w="1604" w:type="dxa"/>
            <w:vAlign w:val="center"/>
          </w:tcPr>
          <w:p w14:paraId="1178C36C" w14:textId="2EA081C6" w:rsidR="009814AC" w:rsidRPr="00F56CC3" w:rsidRDefault="009814AC" w:rsidP="00F56CC3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 xml:space="preserve">Solarni </w:t>
            </w:r>
            <w:r w:rsidR="00F56CC3" w:rsidRPr="00F56CC3">
              <w:rPr>
                <w:rFonts w:cstheme="minorHAnsi"/>
                <w:sz w:val="20"/>
                <w:lang w:val="hr-HR"/>
              </w:rPr>
              <w:t>toplinski sustavi</w:t>
            </w:r>
          </w:p>
        </w:tc>
        <w:tc>
          <w:tcPr>
            <w:tcW w:w="1135" w:type="dxa"/>
            <w:vAlign w:val="center"/>
          </w:tcPr>
          <w:p w14:paraId="7718ACB8" w14:textId="29E7847A" w:rsidR="009814AC" w:rsidRPr="00F56CC3" w:rsidRDefault="009814AC" w:rsidP="009814AC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hr-HR"/>
              </w:rPr>
            </w:pPr>
            <w:r w:rsidRPr="00F56CC3">
              <w:rPr>
                <w:rFonts w:cstheme="minorHAnsi"/>
                <w:b/>
                <w:sz w:val="20"/>
                <w:lang w:val="hr-HR"/>
              </w:rPr>
              <w:t>UKUPNO</w:t>
            </w:r>
            <w:r w:rsidR="00917EF0">
              <w:rPr>
                <w:rFonts w:cstheme="minorHAnsi"/>
                <w:b/>
                <w:sz w:val="20"/>
                <w:lang w:val="hr-HR"/>
              </w:rPr>
              <w:t xml:space="preserve"> po sektorima</w:t>
            </w:r>
          </w:p>
        </w:tc>
      </w:tr>
      <w:tr w:rsidR="009814AC" w:rsidRPr="00F56CC3" w14:paraId="0064E410" w14:textId="77777777" w:rsidTr="005E4906">
        <w:trPr>
          <w:trHeight w:val="10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Align w:val="center"/>
          </w:tcPr>
          <w:p w14:paraId="0C85EAB3" w14:textId="741B69B6" w:rsidR="009814AC" w:rsidRPr="00917EF0" w:rsidRDefault="009814AC" w:rsidP="009814AC">
            <w:pPr>
              <w:tabs>
                <w:tab w:val="left" w:pos="1371"/>
              </w:tabs>
              <w:jc w:val="center"/>
              <w:rPr>
                <w:rFonts w:cstheme="minorHAnsi"/>
                <w:b w:val="0"/>
                <w:sz w:val="20"/>
                <w:lang w:val="hr-HR"/>
              </w:rPr>
            </w:pPr>
            <w:r w:rsidRPr="00917EF0">
              <w:rPr>
                <w:rFonts w:cstheme="minorHAnsi"/>
                <w:b w:val="0"/>
                <w:sz w:val="20"/>
                <w:lang w:val="hr-HR"/>
              </w:rPr>
              <w:t>Zgrade Gradske uprave i Gradskih ustanova/poduzeća</w:t>
            </w:r>
          </w:p>
        </w:tc>
        <w:tc>
          <w:tcPr>
            <w:tcW w:w="1132" w:type="dxa"/>
          </w:tcPr>
          <w:p w14:paraId="0998F642" w14:textId="0204165C" w:rsidR="009814AC" w:rsidRPr="00F56CC3" w:rsidRDefault="00903554" w:rsidP="000C536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lang w:val="hr-HR"/>
              </w:rPr>
              <w:t>11.52</w:t>
            </w:r>
            <w:r w:rsidR="000C5366">
              <w:rPr>
                <w:rFonts w:cstheme="minorHAnsi"/>
                <w:sz w:val="20"/>
                <w:lang w:val="hr-HR"/>
              </w:rPr>
              <w:t>6,55</w:t>
            </w:r>
          </w:p>
        </w:tc>
        <w:tc>
          <w:tcPr>
            <w:tcW w:w="1031" w:type="dxa"/>
          </w:tcPr>
          <w:p w14:paraId="08897DF1" w14:textId="71DA6ADC" w:rsidR="009814AC" w:rsidRPr="00F56CC3" w:rsidRDefault="009814AC" w:rsidP="000C536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4.</w:t>
            </w:r>
            <w:r w:rsidR="00903554">
              <w:rPr>
                <w:rFonts w:cstheme="minorHAnsi"/>
                <w:sz w:val="20"/>
                <w:lang w:val="hr-HR"/>
              </w:rPr>
              <w:t>58</w:t>
            </w:r>
            <w:r w:rsidR="000C5366">
              <w:rPr>
                <w:rFonts w:cstheme="minorHAnsi"/>
                <w:sz w:val="20"/>
                <w:lang w:val="hr-HR"/>
              </w:rPr>
              <w:t>1,73</w:t>
            </w:r>
          </w:p>
        </w:tc>
        <w:tc>
          <w:tcPr>
            <w:tcW w:w="1031" w:type="dxa"/>
          </w:tcPr>
          <w:p w14:paraId="1DB140C6" w14:textId="758FD75D" w:rsidR="009814AC" w:rsidRPr="00F56CC3" w:rsidRDefault="009814AC" w:rsidP="00E34CA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2.8</w:t>
            </w:r>
            <w:r w:rsidR="00903554">
              <w:rPr>
                <w:rFonts w:cstheme="minorHAnsi"/>
                <w:sz w:val="20"/>
                <w:lang w:val="hr-HR"/>
              </w:rPr>
              <w:t>66</w:t>
            </w:r>
            <w:r w:rsidR="000C5366">
              <w:rPr>
                <w:rFonts w:cstheme="minorHAnsi"/>
                <w:sz w:val="20"/>
                <w:lang w:val="hr-HR"/>
              </w:rPr>
              <w:t>,37</w:t>
            </w:r>
          </w:p>
        </w:tc>
        <w:tc>
          <w:tcPr>
            <w:tcW w:w="1132" w:type="dxa"/>
          </w:tcPr>
          <w:p w14:paraId="340EA494" w14:textId="634276E7" w:rsidR="009814AC" w:rsidRPr="00F56CC3" w:rsidRDefault="00903554" w:rsidP="000C536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>
              <w:rPr>
                <w:rFonts w:cstheme="minorHAnsi"/>
                <w:sz w:val="20"/>
                <w:lang w:val="hr-HR"/>
              </w:rPr>
              <w:t>7</w:t>
            </w:r>
            <w:r w:rsidR="000C5366">
              <w:rPr>
                <w:rFonts w:cstheme="minorHAnsi"/>
                <w:sz w:val="20"/>
                <w:lang w:val="hr-HR"/>
              </w:rPr>
              <w:t>5,9</w:t>
            </w:r>
          </w:p>
        </w:tc>
        <w:tc>
          <w:tcPr>
            <w:tcW w:w="1031" w:type="dxa"/>
          </w:tcPr>
          <w:p w14:paraId="30CC8188" w14:textId="49067D98" w:rsidR="009814AC" w:rsidRPr="00F56CC3" w:rsidRDefault="009814AC" w:rsidP="00E34CA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/</w:t>
            </w:r>
          </w:p>
        </w:tc>
        <w:tc>
          <w:tcPr>
            <w:tcW w:w="1604" w:type="dxa"/>
          </w:tcPr>
          <w:p w14:paraId="309207FD" w14:textId="190D0E42" w:rsidR="009814AC" w:rsidRPr="00F56CC3" w:rsidRDefault="009814AC" w:rsidP="00E34CA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/</w:t>
            </w:r>
          </w:p>
        </w:tc>
        <w:tc>
          <w:tcPr>
            <w:tcW w:w="1135" w:type="dxa"/>
          </w:tcPr>
          <w:p w14:paraId="1035F0D5" w14:textId="6D5D4390" w:rsidR="009814AC" w:rsidRPr="00F56CC3" w:rsidRDefault="00903554" w:rsidP="00E34CA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>
              <w:rPr>
                <w:rFonts w:cstheme="minorHAnsi"/>
                <w:sz w:val="20"/>
                <w:lang w:val="hr-HR"/>
              </w:rPr>
              <w:t>19.050</w:t>
            </w:r>
            <w:r w:rsidR="000C5366">
              <w:rPr>
                <w:rFonts w:cstheme="minorHAnsi"/>
                <w:sz w:val="20"/>
                <w:lang w:val="hr-HR"/>
              </w:rPr>
              <w:t>,55</w:t>
            </w:r>
          </w:p>
        </w:tc>
      </w:tr>
      <w:tr w:rsidR="009814AC" w:rsidRPr="00F56CC3" w14:paraId="3055ACB6" w14:textId="77777777" w:rsidTr="005E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Align w:val="center"/>
          </w:tcPr>
          <w:p w14:paraId="398DF4A2" w14:textId="1F9835F4" w:rsidR="009814AC" w:rsidRPr="00917EF0" w:rsidRDefault="009814AC" w:rsidP="009814AC">
            <w:pPr>
              <w:tabs>
                <w:tab w:val="left" w:pos="1371"/>
              </w:tabs>
              <w:jc w:val="center"/>
              <w:rPr>
                <w:rFonts w:cstheme="minorHAnsi"/>
                <w:b w:val="0"/>
                <w:sz w:val="20"/>
                <w:lang w:val="hr-HR"/>
              </w:rPr>
            </w:pPr>
            <w:r w:rsidRPr="00917EF0">
              <w:rPr>
                <w:rFonts w:cstheme="minorHAnsi"/>
                <w:b w:val="0"/>
                <w:sz w:val="20"/>
                <w:lang w:val="hr-HR"/>
              </w:rPr>
              <w:t>Stambeni objekti (kućanstva)</w:t>
            </w:r>
          </w:p>
        </w:tc>
        <w:tc>
          <w:tcPr>
            <w:tcW w:w="1132" w:type="dxa"/>
          </w:tcPr>
          <w:p w14:paraId="6DF466E2" w14:textId="3C891CDA" w:rsidR="009814AC" w:rsidRPr="00F56CC3" w:rsidRDefault="00903554" w:rsidP="00E34C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167.906</w:t>
            </w:r>
            <w:r w:rsidR="000C5366">
              <w:rPr>
                <w:rFonts w:cstheme="minorHAnsi"/>
                <w:color w:val="000000"/>
                <w:sz w:val="20"/>
              </w:rPr>
              <w:t>,38</w:t>
            </w:r>
          </w:p>
        </w:tc>
        <w:tc>
          <w:tcPr>
            <w:tcW w:w="1031" w:type="dxa"/>
          </w:tcPr>
          <w:p w14:paraId="15EEB4E3" w14:textId="07D86BF1" w:rsidR="009814AC" w:rsidRPr="00F56CC3" w:rsidRDefault="00903554" w:rsidP="000C53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5.91</w:t>
            </w:r>
            <w:r w:rsidR="000C5366">
              <w:rPr>
                <w:rFonts w:cstheme="minorHAnsi"/>
                <w:color w:val="000000"/>
                <w:sz w:val="20"/>
              </w:rPr>
              <w:t>2,79</w:t>
            </w:r>
          </w:p>
        </w:tc>
        <w:tc>
          <w:tcPr>
            <w:tcW w:w="1031" w:type="dxa"/>
          </w:tcPr>
          <w:p w14:paraId="019E15A7" w14:textId="6AA8C05D" w:rsidR="009814AC" w:rsidRPr="00F56CC3" w:rsidRDefault="00903554" w:rsidP="00E34C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6.389</w:t>
            </w:r>
            <w:r w:rsidR="000C5366">
              <w:rPr>
                <w:rFonts w:cstheme="minorHAnsi"/>
                <w:color w:val="000000"/>
                <w:sz w:val="20"/>
              </w:rPr>
              <w:t>,14</w:t>
            </w:r>
          </w:p>
        </w:tc>
        <w:tc>
          <w:tcPr>
            <w:tcW w:w="1132" w:type="dxa"/>
          </w:tcPr>
          <w:p w14:paraId="28B14916" w14:textId="14B19EDF" w:rsidR="009814AC" w:rsidRPr="00F56CC3" w:rsidRDefault="00903554" w:rsidP="000C53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137.4</w:t>
            </w:r>
            <w:r w:rsidR="000C5366">
              <w:rPr>
                <w:rFonts w:cstheme="minorHAnsi"/>
                <w:color w:val="000000"/>
                <w:sz w:val="20"/>
              </w:rPr>
              <w:t>89,75</w:t>
            </w:r>
          </w:p>
        </w:tc>
        <w:tc>
          <w:tcPr>
            <w:tcW w:w="1031" w:type="dxa"/>
          </w:tcPr>
          <w:p w14:paraId="344DAB48" w14:textId="55D458D9" w:rsidR="009814AC" w:rsidRPr="00F56CC3" w:rsidRDefault="00903554" w:rsidP="00E34CA6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>
              <w:rPr>
                <w:rFonts w:cstheme="minorHAnsi"/>
                <w:color w:val="000000"/>
                <w:sz w:val="20"/>
              </w:rPr>
              <w:t>2.030</w:t>
            </w:r>
            <w:r w:rsidR="000C5366">
              <w:rPr>
                <w:rFonts w:cstheme="minorHAnsi"/>
                <w:color w:val="000000"/>
                <w:sz w:val="20"/>
              </w:rPr>
              <w:t>,26</w:t>
            </w:r>
          </w:p>
        </w:tc>
        <w:tc>
          <w:tcPr>
            <w:tcW w:w="1604" w:type="dxa"/>
          </w:tcPr>
          <w:p w14:paraId="22B0C9C7" w14:textId="7D288BD4" w:rsidR="009814AC" w:rsidRPr="00F56CC3" w:rsidRDefault="00903554" w:rsidP="000C53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sz w:val="20"/>
                <w:lang w:val="hr-HR"/>
              </w:rPr>
              <w:t>10</w:t>
            </w:r>
            <w:r w:rsidR="000C5366">
              <w:rPr>
                <w:rFonts w:cstheme="minorHAnsi"/>
                <w:sz w:val="20"/>
                <w:lang w:val="hr-HR"/>
              </w:rPr>
              <w:t>3,58</w:t>
            </w:r>
          </w:p>
        </w:tc>
        <w:tc>
          <w:tcPr>
            <w:tcW w:w="1135" w:type="dxa"/>
          </w:tcPr>
          <w:p w14:paraId="329F9CF8" w14:textId="17893469" w:rsidR="009814AC" w:rsidRPr="00F56CC3" w:rsidRDefault="009814AC" w:rsidP="000C5366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3</w:t>
            </w:r>
            <w:r w:rsidR="00903554">
              <w:rPr>
                <w:rFonts w:cstheme="minorHAnsi"/>
                <w:sz w:val="20"/>
                <w:lang w:val="hr-HR"/>
              </w:rPr>
              <w:t>19.83</w:t>
            </w:r>
            <w:r w:rsidR="000C5366">
              <w:rPr>
                <w:rFonts w:cstheme="minorHAnsi"/>
                <w:sz w:val="20"/>
                <w:lang w:val="hr-HR"/>
              </w:rPr>
              <w:t>1,90</w:t>
            </w:r>
          </w:p>
        </w:tc>
      </w:tr>
      <w:tr w:rsidR="009814AC" w:rsidRPr="00F56CC3" w14:paraId="3A251DC1" w14:textId="77777777" w:rsidTr="005E4906">
        <w:trPr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Align w:val="center"/>
          </w:tcPr>
          <w:p w14:paraId="61CF9B0E" w14:textId="5C501E9D" w:rsidR="009814AC" w:rsidRPr="00917EF0" w:rsidRDefault="009814AC" w:rsidP="009814AC">
            <w:pPr>
              <w:tabs>
                <w:tab w:val="left" w:pos="1371"/>
              </w:tabs>
              <w:jc w:val="center"/>
              <w:rPr>
                <w:rFonts w:cstheme="minorHAnsi"/>
                <w:b w:val="0"/>
                <w:sz w:val="20"/>
                <w:lang w:val="hr-HR"/>
              </w:rPr>
            </w:pPr>
            <w:r w:rsidRPr="00917EF0">
              <w:rPr>
                <w:rFonts w:cstheme="minorHAnsi"/>
                <w:b w:val="0"/>
                <w:sz w:val="20"/>
                <w:lang w:val="hr-HR"/>
              </w:rPr>
              <w:t>Zgrade komercijalnog i uslužnog sektora</w:t>
            </w:r>
          </w:p>
        </w:tc>
        <w:tc>
          <w:tcPr>
            <w:tcW w:w="1132" w:type="dxa"/>
          </w:tcPr>
          <w:p w14:paraId="7EAD4CA0" w14:textId="4A616FAB" w:rsidR="009814AC" w:rsidRPr="00F56CC3" w:rsidRDefault="00903554" w:rsidP="00E34C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74.638</w:t>
            </w:r>
            <w:r w:rsidR="000C5366">
              <w:rPr>
                <w:rFonts w:cstheme="minorHAnsi"/>
                <w:color w:val="000000"/>
                <w:sz w:val="20"/>
              </w:rPr>
              <w:t>,20</w:t>
            </w:r>
          </w:p>
        </w:tc>
        <w:tc>
          <w:tcPr>
            <w:tcW w:w="1031" w:type="dxa"/>
          </w:tcPr>
          <w:p w14:paraId="747C593A" w14:textId="05AC654F" w:rsidR="009814AC" w:rsidRPr="00F56CC3" w:rsidRDefault="00903554" w:rsidP="000C536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42.18</w:t>
            </w:r>
            <w:r w:rsidR="000C5366">
              <w:rPr>
                <w:rFonts w:cstheme="minorHAnsi"/>
                <w:color w:val="000000"/>
                <w:sz w:val="20"/>
              </w:rPr>
              <w:t>7,61</w:t>
            </w:r>
          </w:p>
        </w:tc>
        <w:tc>
          <w:tcPr>
            <w:tcW w:w="1031" w:type="dxa"/>
          </w:tcPr>
          <w:p w14:paraId="6177EA8C" w14:textId="2286DEC4" w:rsidR="009814AC" w:rsidRPr="00F56CC3" w:rsidRDefault="00903554" w:rsidP="00E34C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10.695</w:t>
            </w:r>
            <w:r w:rsidR="000C5366">
              <w:rPr>
                <w:rFonts w:cstheme="minorHAnsi"/>
                <w:color w:val="000000"/>
                <w:sz w:val="20"/>
              </w:rPr>
              <w:t>,14</w:t>
            </w:r>
          </w:p>
        </w:tc>
        <w:tc>
          <w:tcPr>
            <w:tcW w:w="1132" w:type="dxa"/>
          </w:tcPr>
          <w:p w14:paraId="506DED07" w14:textId="4DB9E034" w:rsidR="009814AC" w:rsidRPr="00F56CC3" w:rsidRDefault="00903554" w:rsidP="00E34C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1.924</w:t>
            </w:r>
            <w:r w:rsidR="000C5366">
              <w:rPr>
                <w:rFonts w:cstheme="minorHAnsi"/>
                <w:color w:val="000000"/>
                <w:sz w:val="20"/>
              </w:rPr>
              <w:t>,10</w:t>
            </w:r>
          </w:p>
        </w:tc>
        <w:tc>
          <w:tcPr>
            <w:tcW w:w="1031" w:type="dxa"/>
          </w:tcPr>
          <w:p w14:paraId="242AFC29" w14:textId="41B72DEA" w:rsidR="009814AC" w:rsidRPr="00E34CA6" w:rsidRDefault="00903554" w:rsidP="000C536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8.72</w:t>
            </w:r>
            <w:r w:rsidR="000C5366">
              <w:rPr>
                <w:rFonts w:cstheme="minorHAnsi"/>
                <w:color w:val="000000"/>
                <w:sz w:val="20"/>
              </w:rPr>
              <w:t>4,70</w:t>
            </w:r>
          </w:p>
        </w:tc>
        <w:tc>
          <w:tcPr>
            <w:tcW w:w="1604" w:type="dxa"/>
          </w:tcPr>
          <w:p w14:paraId="201889D6" w14:textId="509A3C82" w:rsidR="009814AC" w:rsidRPr="00F56CC3" w:rsidRDefault="009814AC" w:rsidP="00E34C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</w:rPr>
            </w:pPr>
            <w:r w:rsidRPr="00F56CC3">
              <w:rPr>
                <w:rFonts w:cstheme="minorHAnsi"/>
                <w:sz w:val="20"/>
                <w:lang w:val="hr-HR"/>
              </w:rPr>
              <w:t>/</w:t>
            </w:r>
          </w:p>
        </w:tc>
        <w:tc>
          <w:tcPr>
            <w:tcW w:w="1135" w:type="dxa"/>
          </w:tcPr>
          <w:p w14:paraId="246B0ED7" w14:textId="2B6935E9" w:rsidR="009814AC" w:rsidRPr="00F56CC3" w:rsidRDefault="00903554" w:rsidP="000C536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hr-HR"/>
              </w:rPr>
            </w:pPr>
            <w:r>
              <w:rPr>
                <w:rFonts w:cstheme="minorHAnsi"/>
                <w:sz w:val="20"/>
                <w:lang w:val="hr-HR"/>
              </w:rPr>
              <w:t>138.1</w:t>
            </w:r>
            <w:r w:rsidR="000C5366">
              <w:rPr>
                <w:rFonts w:cstheme="minorHAnsi"/>
                <w:sz w:val="20"/>
                <w:lang w:val="hr-HR"/>
              </w:rPr>
              <w:t>69,75</w:t>
            </w:r>
          </w:p>
        </w:tc>
      </w:tr>
      <w:tr w:rsidR="009814AC" w:rsidRPr="00F56CC3" w14:paraId="5D36FA21" w14:textId="77777777" w:rsidTr="005E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Align w:val="center"/>
          </w:tcPr>
          <w:p w14:paraId="3CF3522D" w14:textId="5956B28A" w:rsidR="009814AC" w:rsidRPr="00F56CC3" w:rsidRDefault="009814AC" w:rsidP="009814AC">
            <w:pPr>
              <w:tabs>
                <w:tab w:val="left" w:pos="1371"/>
              </w:tabs>
              <w:jc w:val="center"/>
              <w:rPr>
                <w:rFonts w:cstheme="minorHAnsi"/>
                <w:sz w:val="20"/>
                <w:lang w:val="hr-HR"/>
              </w:rPr>
            </w:pPr>
            <w:r w:rsidRPr="00F56CC3">
              <w:rPr>
                <w:rFonts w:cstheme="minorHAnsi"/>
                <w:sz w:val="20"/>
                <w:lang w:val="hr-HR"/>
              </w:rPr>
              <w:t>UKUPNO</w:t>
            </w:r>
          </w:p>
        </w:tc>
        <w:tc>
          <w:tcPr>
            <w:tcW w:w="1132" w:type="dxa"/>
          </w:tcPr>
          <w:p w14:paraId="06E7017E" w14:textId="45EF6840" w:rsidR="009814AC" w:rsidRPr="00F56CC3" w:rsidRDefault="00903554" w:rsidP="00903554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254.071</w:t>
            </w:r>
            <w:r w:rsidR="00804228">
              <w:rPr>
                <w:rFonts w:cstheme="minorHAnsi"/>
                <w:b/>
                <w:color w:val="000000"/>
                <w:sz w:val="20"/>
              </w:rPr>
              <w:t>,13</w:t>
            </w:r>
          </w:p>
        </w:tc>
        <w:tc>
          <w:tcPr>
            <w:tcW w:w="1031" w:type="dxa"/>
          </w:tcPr>
          <w:p w14:paraId="5DA452C0" w14:textId="23BC0720" w:rsidR="009814AC" w:rsidRPr="00F56CC3" w:rsidRDefault="009814AC" w:rsidP="00E34CA6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hr-HR"/>
              </w:rPr>
            </w:pPr>
            <w:r w:rsidRPr="00F56CC3">
              <w:rPr>
                <w:rFonts w:cstheme="minorHAnsi"/>
                <w:b/>
                <w:sz w:val="20"/>
                <w:lang w:val="hr-HR"/>
              </w:rPr>
              <w:t>5</w:t>
            </w:r>
            <w:r w:rsidR="00903554">
              <w:rPr>
                <w:rFonts w:cstheme="minorHAnsi"/>
                <w:b/>
                <w:sz w:val="20"/>
                <w:lang w:val="hr-HR"/>
              </w:rPr>
              <w:t>2.682</w:t>
            </w:r>
            <w:r w:rsidR="00804228">
              <w:rPr>
                <w:rFonts w:cstheme="minorHAnsi"/>
                <w:b/>
                <w:sz w:val="20"/>
                <w:lang w:val="hr-HR"/>
              </w:rPr>
              <w:t>,13</w:t>
            </w:r>
          </w:p>
        </w:tc>
        <w:tc>
          <w:tcPr>
            <w:tcW w:w="1031" w:type="dxa"/>
          </w:tcPr>
          <w:p w14:paraId="040777C1" w14:textId="7E46058E" w:rsidR="009814AC" w:rsidRPr="00F56CC3" w:rsidRDefault="009814AC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hr-HR"/>
              </w:rPr>
            </w:pPr>
            <w:r w:rsidRPr="00F56CC3">
              <w:rPr>
                <w:rFonts w:cstheme="minorHAnsi"/>
                <w:b/>
                <w:sz w:val="20"/>
                <w:lang w:val="hr-HR"/>
              </w:rPr>
              <w:t>19.</w:t>
            </w:r>
            <w:r w:rsidR="00903554">
              <w:rPr>
                <w:rFonts w:cstheme="minorHAnsi"/>
                <w:b/>
                <w:sz w:val="20"/>
                <w:lang w:val="hr-HR"/>
              </w:rPr>
              <w:t>95</w:t>
            </w:r>
            <w:r w:rsidR="00804228">
              <w:rPr>
                <w:rFonts w:cstheme="minorHAnsi"/>
                <w:b/>
                <w:sz w:val="20"/>
                <w:lang w:val="hr-HR"/>
              </w:rPr>
              <w:t>0,65</w:t>
            </w:r>
          </w:p>
        </w:tc>
        <w:tc>
          <w:tcPr>
            <w:tcW w:w="1132" w:type="dxa"/>
          </w:tcPr>
          <w:p w14:paraId="2D89DF16" w14:textId="5F501796" w:rsidR="009814AC" w:rsidRPr="00F56CC3" w:rsidRDefault="009814AC" w:rsidP="008042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F56CC3">
              <w:rPr>
                <w:rFonts w:cstheme="minorHAnsi"/>
                <w:b/>
                <w:sz w:val="20"/>
                <w:lang w:val="hr-HR"/>
              </w:rPr>
              <w:t>139.</w:t>
            </w:r>
            <w:r w:rsidR="00903554">
              <w:rPr>
                <w:rFonts w:cstheme="minorHAnsi"/>
                <w:b/>
                <w:sz w:val="20"/>
                <w:lang w:val="hr-HR"/>
              </w:rPr>
              <w:t>4</w:t>
            </w:r>
            <w:r w:rsidR="00804228">
              <w:rPr>
                <w:rFonts w:cstheme="minorHAnsi"/>
                <w:b/>
                <w:sz w:val="20"/>
                <w:lang w:val="hr-HR"/>
              </w:rPr>
              <w:t>8</w:t>
            </w:r>
            <w:r w:rsidR="00903554">
              <w:rPr>
                <w:rFonts w:cstheme="minorHAnsi"/>
                <w:b/>
                <w:sz w:val="20"/>
                <w:lang w:val="hr-HR"/>
              </w:rPr>
              <w:t>9</w:t>
            </w:r>
            <w:r w:rsidR="00804228">
              <w:rPr>
                <w:rFonts w:cstheme="minorHAnsi"/>
                <w:b/>
                <w:sz w:val="20"/>
                <w:lang w:val="hr-HR"/>
              </w:rPr>
              <w:t>,75</w:t>
            </w:r>
          </w:p>
        </w:tc>
        <w:tc>
          <w:tcPr>
            <w:tcW w:w="1031" w:type="dxa"/>
          </w:tcPr>
          <w:p w14:paraId="1D401CC5" w14:textId="1EA5D133" w:rsidR="009814AC" w:rsidRPr="00F56CC3" w:rsidRDefault="00903554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hr-HR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10.75</w:t>
            </w:r>
            <w:r w:rsidR="00804228">
              <w:rPr>
                <w:rFonts w:cstheme="minorHAnsi"/>
                <w:b/>
                <w:color w:val="000000"/>
                <w:sz w:val="20"/>
              </w:rPr>
              <w:t>4,96</w:t>
            </w:r>
          </w:p>
        </w:tc>
        <w:tc>
          <w:tcPr>
            <w:tcW w:w="1604" w:type="dxa"/>
          </w:tcPr>
          <w:p w14:paraId="3F9C79DF" w14:textId="5A576718" w:rsidR="009814AC" w:rsidRPr="00F56CC3" w:rsidRDefault="00903554" w:rsidP="008042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sz w:val="20"/>
              </w:rPr>
              <w:t>10</w:t>
            </w:r>
            <w:r w:rsidR="00804228">
              <w:rPr>
                <w:rFonts w:cstheme="minorHAnsi"/>
                <w:b/>
                <w:sz w:val="20"/>
              </w:rPr>
              <w:t>3,58</w:t>
            </w:r>
          </w:p>
        </w:tc>
        <w:tc>
          <w:tcPr>
            <w:tcW w:w="1135" w:type="dxa"/>
          </w:tcPr>
          <w:p w14:paraId="241BE543" w14:textId="16BA363F" w:rsidR="009814AC" w:rsidRPr="00F56CC3" w:rsidRDefault="009814AC" w:rsidP="00903554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hr-HR"/>
              </w:rPr>
            </w:pPr>
            <w:r w:rsidRPr="00F56CC3">
              <w:rPr>
                <w:rFonts w:cstheme="minorHAnsi"/>
                <w:b/>
                <w:sz w:val="20"/>
                <w:lang w:val="hr-HR"/>
              </w:rPr>
              <w:t>477.052</w:t>
            </w:r>
            <w:r w:rsidR="00804228">
              <w:rPr>
                <w:rFonts w:cstheme="minorHAnsi"/>
                <w:b/>
                <w:sz w:val="20"/>
                <w:lang w:val="hr-HR"/>
              </w:rPr>
              <w:t>,20</w:t>
            </w:r>
          </w:p>
        </w:tc>
      </w:tr>
    </w:tbl>
    <w:p w14:paraId="2126A612" w14:textId="77777777" w:rsidR="006B25A1" w:rsidRPr="006B25A1" w:rsidRDefault="006B25A1" w:rsidP="006B25A1">
      <w:pPr>
        <w:spacing w:line="276" w:lineRule="auto"/>
        <w:rPr>
          <w:rFonts w:ascii="Calibri" w:eastAsia="Calibri" w:hAnsi="Calibri" w:cs="Calibri"/>
          <w:szCs w:val="22"/>
        </w:rPr>
      </w:pPr>
    </w:p>
    <w:p w14:paraId="01B24AB9" w14:textId="5DA2404B" w:rsidR="00C83D0B" w:rsidRPr="00112DC7" w:rsidRDefault="00C83D0B" w:rsidP="00C83D0B">
      <w:pPr>
        <w:rPr>
          <w:rFonts w:ascii="Calibri" w:eastAsia="Calibri" w:hAnsi="Calibri" w:cs="Calibri"/>
          <w:szCs w:val="22"/>
        </w:rPr>
      </w:pPr>
      <w:r w:rsidRPr="00112DC7">
        <w:rPr>
          <w:rFonts w:ascii="Calibri" w:eastAsia="Calibri" w:hAnsi="Calibri" w:cs="Calibri"/>
          <w:szCs w:val="22"/>
        </w:rPr>
        <w:t>Emisije CO</w:t>
      </w:r>
      <w:r w:rsidRPr="00112DC7">
        <w:rPr>
          <w:rFonts w:ascii="Calibri" w:eastAsia="Calibri" w:hAnsi="Calibri" w:cs="Calibri"/>
          <w:szCs w:val="22"/>
          <w:vertAlign w:val="subscript"/>
        </w:rPr>
        <w:t>2</w:t>
      </w:r>
      <w:r w:rsidRPr="00112DC7">
        <w:rPr>
          <w:rFonts w:ascii="Calibri" w:eastAsia="Calibri" w:hAnsi="Calibri" w:cs="Calibri"/>
          <w:szCs w:val="22"/>
        </w:rPr>
        <w:t xml:space="preserve"> iz sektora zgradarstva </w:t>
      </w:r>
      <w:r w:rsidR="00012413" w:rsidRPr="00112DC7">
        <w:rPr>
          <w:rFonts w:ascii="Calibri" w:eastAsia="Calibri" w:hAnsi="Calibri" w:cs="Calibri"/>
          <w:szCs w:val="22"/>
        </w:rPr>
        <w:t>Grada</w:t>
      </w:r>
      <w:r w:rsidR="00012413">
        <w:rPr>
          <w:rFonts w:ascii="Calibri" w:eastAsia="Calibri" w:hAnsi="Calibri" w:cs="Calibri"/>
          <w:szCs w:val="22"/>
        </w:rPr>
        <w:t xml:space="preserve"> Zadra </w:t>
      </w:r>
      <w:r w:rsidRPr="00112DC7">
        <w:rPr>
          <w:rFonts w:ascii="Calibri" w:eastAsia="Calibri" w:hAnsi="Calibri" w:cs="Calibri"/>
          <w:szCs w:val="22"/>
        </w:rPr>
        <w:t>obuhvaća</w:t>
      </w:r>
      <w:r w:rsidR="00451791" w:rsidRPr="00112DC7">
        <w:rPr>
          <w:rFonts w:ascii="Calibri" w:eastAsia="Calibri" w:hAnsi="Calibri" w:cs="Calibri"/>
          <w:szCs w:val="22"/>
        </w:rPr>
        <w:t>ju</w:t>
      </w:r>
      <w:r w:rsidR="001866B5">
        <w:rPr>
          <w:rFonts w:ascii="Calibri" w:eastAsia="Calibri" w:hAnsi="Calibri" w:cs="Calibri"/>
          <w:szCs w:val="22"/>
        </w:rPr>
        <w:t xml:space="preserve"> neizravne</w:t>
      </w:r>
      <w:r w:rsidRPr="00112DC7">
        <w:rPr>
          <w:rFonts w:ascii="Calibri" w:eastAsia="Calibri" w:hAnsi="Calibri" w:cs="Calibri"/>
          <w:szCs w:val="22"/>
        </w:rPr>
        <w:t xml:space="preserve"> emisije iz potrošnje električne energije te </w:t>
      </w:r>
      <w:r w:rsidR="001866B5">
        <w:rPr>
          <w:rFonts w:ascii="Calibri" w:eastAsia="Calibri" w:hAnsi="Calibri" w:cs="Calibri"/>
          <w:szCs w:val="22"/>
        </w:rPr>
        <w:t xml:space="preserve">izravne </w:t>
      </w:r>
      <w:r w:rsidRPr="00112DC7">
        <w:rPr>
          <w:rFonts w:ascii="Calibri" w:eastAsia="Calibri" w:hAnsi="Calibri" w:cs="Calibri"/>
          <w:szCs w:val="22"/>
        </w:rPr>
        <w:t>emisije iz izgaranja goriva. Prikaz korištenih emisijskih faktora za određivanje emisija CO</w:t>
      </w:r>
      <w:r w:rsidRPr="00112DC7">
        <w:rPr>
          <w:rFonts w:ascii="Calibri" w:eastAsia="Calibri" w:hAnsi="Calibri" w:cs="Calibri"/>
          <w:szCs w:val="22"/>
          <w:vertAlign w:val="subscript"/>
        </w:rPr>
        <w:t>2</w:t>
      </w:r>
      <w:r w:rsidRPr="00112DC7">
        <w:rPr>
          <w:rFonts w:ascii="Calibri" w:eastAsia="Calibri" w:hAnsi="Calibri" w:cs="Calibri"/>
          <w:szCs w:val="22"/>
        </w:rPr>
        <w:t xml:space="preserve"> iz sektora zgradarstv</w:t>
      </w:r>
      <w:r w:rsidR="00451791" w:rsidRPr="00112DC7">
        <w:rPr>
          <w:rFonts w:ascii="Calibri" w:eastAsia="Calibri" w:hAnsi="Calibri" w:cs="Calibri"/>
          <w:szCs w:val="22"/>
        </w:rPr>
        <w:t>a</w:t>
      </w:r>
      <w:r w:rsidRPr="00112DC7">
        <w:rPr>
          <w:rFonts w:ascii="Calibri" w:eastAsia="Calibri" w:hAnsi="Calibri" w:cs="Calibri"/>
          <w:szCs w:val="22"/>
        </w:rPr>
        <w:t xml:space="preserve"> dan je u </w:t>
      </w:r>
      <w:r w:rsidR="00E625E6">
        <w:rPr>
          <w:rFonts w:ascii="Calibri" w:eastAsia="Calibri" w:hAnsi="Calibri" w:cs="Calibri"/>
          <w:szCs w:val="22"/>
        </w:rPr>
        <w:t>T</w:t>
      </w:r>
      <w:r w:rsidRPr="00112DC7">
        <w:rPr>
          <w:rFonts w:ascii="Calibri" w:eastAsia="Calibri" w:hAnsi="Calibri" w:cs="Calibri"/>
          <w:szCs w:val="22"/>
        </w:rPr>
        <w:t xml:space="preserve">ablici </w:t>
      </w:r>
      <w:r w:rsidR="00727E78">
        <w:rPr>
          <w:rFonts w:ascii="Calibri" w:eastAsia="Calibri" w:hAnsi="Calibri" w:cs="Calibri"/>
          <w:szCs w:val="22"/>
        </w:rPr>
        <w:t>9</w:t>
      </w:r>
      <w:r w:rsidRPr="00112DC7">
        <w:rPr>
          <w:rFonts w:ascii="Calibri" w:eastAsia="Calibri" w:hAnsi="Calibri" w:cs="Calibri"/>
          <w:szCs w:val="22"/>
        </w:rPr>
        <w:t>.</w:t>
      </w:r>
      <w:r w:rsidR="00E625E6">
        <w:rPr>
          <w:rFonts w:ascii="Calibri" w:eastAsia="Calibri" w:hAnsi="Calibri" w:cs="Calibri"/>
          <w:szCs w:val="22"/>
        </w:rPr>
        <w:t xml:space="preserve"> U skladu s uputama priručnika ''Kako izraditi akcijski plan energetski održivog razvitka (SEAP)'', za izračun Kontrolnog inventara emisija CO</w:t>
      </w:r>
      <w:r w:rsidR="00E625E6" w:rsidRPr="00D579ED">
        <w:rPr>
          <w:rFonts w:ascii="Calibri" w:eastAsia="Calibri" w:hAnsi="Calibri" w:cs="Calibri"/>
          <w:szCs w:val="22"/>
          <w:vertAlign w:val="subscript"/>
        </w:rPr>
        <w:t>2</w:t>
      </w:r>
      <w:r w:rsidR="00E625E6">
        <w:rPr>
          <w:rFonts w:ascii="Calibri" w:eastAsia="Calibri" w:hAnsi="Calibri" w:cs="Calibri"/>
          <w:szCs w:val="22"/>
        </w:rPr>
        <w:t xml:space="preserve"> za 2017. godinu korišteni su jednaki emisijski faktori kao i pri izradi SEAP-a Grada Zadra. Time je omogućena usporedivost rezultata te praćenje i ocjena uspješnosti provedbe mjera za poboljšanje energetske učinkovitosti, odnosno smanjenje emisija CO</w:t>
      </w:r>
      <w:r w:rsidR="00E625E6" w:rsidRPr="00E34CA6">
        <w:rPr>
          <w:rFonts w:ascii="Calibri" w:eastAsia="Calibri" w:hAnsi="Calibri" w:cs="Calibri"/>
          <w:szCs w:val="22"/>
          <w:vertAlign w:val="subscript"/>
        </w:rPr>
        <w:t>2</w:t>
      </w:r>
      <w:r w:rsidR="00E625E6">
        <w:rPr>
          <w:rFonts w:ascii="Calibri" w:eastAsia="Calibri" w:hAnsi="Calibri" w:cs="Calibri"/>
          <w:szCs w:val="22"/>
        </w:rPr>
        <w:t>.</w:t>
      </w:r>
    </w:p>
    <w:p w14:paraId="2FE95C9F" w14:textId="3489695E" w:rsidR="00C83D0B" w:rsidRPr="00713C47" w:rsidRDefault="00C83D0B" w:rsidP="00535DE0">
      <w:pPr>
        <w:pStyle w:val="Opisslike"/>
      </w:pPr>
      <w:r w:rsidRPr="00713C47">
        <w:lastRenderedPageBreak/>
        <w:t xml:space="preserve">Tablica </w:t>
      </w:r>
      <w:r w:rsidR="00102BB8">
        <w:t>9</w:t>
      </w:r>
      <w:r w:rsidR="00E625E6">
        <w:rPr>
          <w:noProof/>
        </w:rPr>
        <w:t>:</w:t>
      </w:r>
      <w:r w:rsidRPr="00713C47">
        <w:t xml:space="preserve"> Korišteni emisijski faktori za određivanje emisija CO</w:t>
      </w:r>
      <w:r w:rsidRPr="00713C47">
        <w:rPr>
          <w:vertAlign w:val="subscript"/>
        </w:rPr>
        <w:t>2</w:t>
      </w:r>
      <w:r w:rsidRPr="00713C47">
        <w:t xml:space="preserve"> </w:t>
      </w:r>
      <w:r w:rsidR="00E34CA6">
        <w:t>u Kontrolnom inventaru emisija za 2017.</w:t>
      </w:r>
    </w:p>
    <w:tbl>
      <w:tblPr>
        <w:tblStyle w:val="GridTable4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C83D0B" w:rsidRPr="00713C47" w14:paraId="02563B09" w14:textId="77777777" w:rsidTr="00346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26930932" w14:textId="77777777" w:rsidR="00C83D0B" w:rsidRPr="00713C47" w:rsidRDefault="00C83D0B" w:rsidP="00FC33F7">
            <w:pPr>
              <w:jc w:val="center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Energent</w:t>
            </w:r>
          </w:p>
        </w:tc>
        <w:tc>
          <w:tcPr>
            <w:tcW w:w="4508" w:type="dxa"/>
            <w:vAlign w:val="center"/>
          </w:tcPr>
          <w:p w14:paraId="71D48DF1" w14:textId="60BE9EBE" w:rsidR="00C83D0B" w:rsidRPr="00713C47" w:rsidRDefault="00FA3F26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Jedinica</w:t>
            </w:r>
            <w:r w:rsidR="00C83D0B" w:rsidRPr="00713C47">
              <w:rPr>
                <w:rFonts w:ascii="Calibri" w:hAnsi="Calibri" w:cs="Calibri"/>
              </w:rPr>
              <w:t xml:space="preserve"> </w:t>
            </w:r>
            <w:r w:rsidRPr="00713C47">
              <w:rPr>
                <w:rFonts w:ascii="Calibri" w:hAnsi="Calibri" w:cs="Calibri"/>
              </w:rPr>
              <w:t>(</w:t>
            </w:r>
            <w:r w:rsidR="00C83D0B" w:rsidRPr="00713C47">
              <w:rPr>
                <w:rFonts w:ascii="Calibri" w:hAnsi="Calibri" w:cs="Calibri"/>
              </w:rPr>
              <w:t>kgCO</w:t>
            </w:r>
            <w:r w:rsidR="00C83D0B" w:rsidRPr="00713C47">
              <w:rPr>
                <w:rFonts w:ascii="Calibri" w:hAnsi="Calibri" w:cs="Calibri"/>
                <w:vertAlign w:val="subscript"/>
              </w:rPr>
              <w:t>2</w:t>
            </w:r>
            <w:r w:rsidR="00C83D0B" w:rsidRPr="00713C47">
              <w:rPr>
                <w:rFonts w:ascii="Calibri" w:hAnsi="Calibri" w:cs="Calibri"/>
              </w:rPr>
              <w:t>/kWh</w:t>
            </w:r>
            <w:r w:rsidRPr="00713C47">
              <w:rPr>
                <w:rFonts w:ascii="Calibri" w:hAnsi="Calibri" w:cs="Calibri"/>
              </w:rPr>
              <w:t>)</w:t>
            </w:r>
          </w:p>
        </w:tc>
      </w:tr>
      <w:tr w:rsidR="00731D71" w:rsidRPr="00713C47" w14:paraId="467F14C2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698A8B3" w14:textId="105955A1" w:rsidR="00731D71" w:rsidRPr="00713C47" w:rsidRDefault="00731D71" w:rsidP="00731D71">
            <w:pPr>
              <w:jc w:val="center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Električna energija</w:t>
            </w:r>
          </w:p>
        </w:tc>
        <w:tc>
          <w:tcPr>
            <w:tcW w:w="4508" w:type="dxa"/>
            <w:vAlign w:val="center"/>
          </w:tcPr>
          <w:p w14:paraId="198CB817" w14:textId="2EF60232" w:rsidR="00731D71" w:rsidRPr="00713C47" w:rsidRDefault="00731D71" w:rsidP="00731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0,3</w:t>
            </w:r>
            <w:r w:rsidR="00713C47" w:rsidRPr="00713C47">
              <w:rPr>
                <w:rFonts w:ascii="Calibri" w:hAnsi="Calibri" w:cs="Calibri"/>
              </w:rPr>
              <w:t>76</w:t>
            </w:r>
          </w:p>
        </w:tc>
      </w:tr>
      <w:tr w:rsidR="00731D71" w:rsidRPr="00713C47" w14:paraId="60A442BF" w14:textId="77777777" w:rsidTr="003461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A1894F9" w14:textId="138601BD" w:rsidR="00731D71" w:rsidRPr="00713C47" w:rsidRDefault="00731D71" w:rsidP="00731D71">
            <w:pPr>
              <w:jc w:val="center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Prirodni plin</w:t>
            </w:r>
            <w:r w:rsidR="00CC3216" w:rsidRPr="00713C47">
              <w:rPr>
                <w:rFonts w:ascii="Calibri" w:hAnsi="Calibri" w:cs="Calibri"/>
              </w:rPr>
              <w:t xml:space="preserve"> </w:t>
            </w:r>
            <w:r w:rsidRPr="00713C47">
              <w:rPr>
                <w:rFonts w:ascii="Calibri" w:hAnsi="Calibri" w:cs="Calibri"/>
              </w:rPr>
              <w:t>/</w:t>
            </w:r>
            <w:r w:rsidR="00CC3216" w:rsidRPr="00713C47">
              <w:rPr>
                <w:rFonts w:ascii="Calibri" w:hAnsi="Calibri" w:cs="Calibri"/>
              </w:rPr>
              <w:t xml:space="preserve"> </w:t>
            </w:r>
            <w:r w:rsidRPr="00713C47">
              <w:rPr>
                <w:rFonts w:ascii="Calibri" w:hAnsi="Calibri" w:cs="Calibri"/>
              </w:rPr>
              <w:t>Stlačeni prirodni plin (SPP)</w:t>
            </w:r>
          </w:p>
        </w:tc>
        <w:tc>
          <w:tcPr>
            <w:tcW w:w="4508" w:type="dxa"/>
            <w:vAlign w:val="center"/>
          </w:tcPr>
          <w:p w14:paraId="1C1805D3" w14:textId="3D9D76AB" w:rsidR="00731D71" w:rsidRPr="00713C47" w:rsidRDefault="00731D71" w:rsidP="00731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0,202</w:t>
            </w:r>
          </w:p>
        </w:tc>
      </w:tr>
      <w:tr w:rsidR="00731D71" w:rsidRPr="00713C47" w14:paraId="43F0091A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8A04B3D" w14:textId="500F2AB2" w:rsidR="00731D71" w:rsidRPr="00713C47" w:rsidRDefault="00731D71" w:rsidP="00A81186">
            <w:pPr>
              <w:jc w:val="center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Ekstra lako loživo ulje</w:t>
            </w:r>
            <w:r w:rsidR="00351E5C">
              <w:rPr>
                <w:rFonts w:ascii="Calibri" w:hAnsi="Calibri" w:cs="Calibri"/>
              </w:rPr>
              <w:t>/Dizel</w:t>
            </w:r>
          </w:p>
        </w:tc>
        <w:tc>
          <w:tcPr>
            <w:tcW w:w="4508" w:type="dxa"/>
            <w:vAlign w:val="center"/>
          </w:tcPr>
          <w:p w14:paraId="0873221B" w14:textId="5A4FF1D8" w:rsidR="00731D71" w:rsidRPr="00713C47" w:rsidRDefault="00FA3F26" w:rsidP="00731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0,267</w:t>
            </w:r>
          </w:p>
        </w:tc>
      </w:tr>
      <w:tr w:rsidR="00731D71" w:rsidRPr="00713C47" w14:paraId="3866163B" w14:textId="77777777" w:rsidTr="003461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A99F320" w14:textId="77777777" w:rsidR="00731D71" w:rsidRPr="00713C47" w:rsidRDefault="00731D71" w:rsidP="00731D71">
            <w:pPr>
              <w:jc w:val="center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Ukapljeni naftni plin (UNP)</w:t>
            </w:r>
          </w:p>
        </w:tc>
        <w:tc>
          <w:tcPr>
            <w:tcW w:w="4508" w:type="dxa"/>
            <w:vAlign w:val="center"/>
          </w:tcPr>
          <w:p w14:paraId="2F10F3CF" w14:textId="77777777" w:rsidR="00731D71" w:rsidRPr="00713C47" w:rsidRDefault="00731D71" w:rsidP="00731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0,227</w:t>
            </w:r>
          </w:p>
        </w:tc>
      </w:tr>
      <w:tr w:rsidR="00731D71" w:rsidRPr="00B2586A" w14:paraId="583BAF03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F6F9A98" w14:textId="0132C15F" w:rsidR="00731D71" w:rsidRPr="00713C47" w:rsidRDefault="00731D71" w:rsidP="00731D71">
            <w:pPr>
              <w:jc w:val="center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Biomasa</w:t>
            </w:r>
            <w:r w:rsidRPr="00713C47">
              <w:rPr>
                <w:rFonts w:eastAsia="Times New Roman" w:cstheme="minorHAnsi"/>
              </w:rPr>
              <w:t>, ogrjevno drvo</w:t>
            </w:r>
          </w:p>
        </w:tc>
        <w:tc>
          <w:tcPr>
            <w:tcW w:w="4508" w:type="dxa"/>
            <w:vAlign w:val="center"/>
          </w:tcPr>
          <w:p w14:paraId="378A85CC" w14:textId="1330F9F5" w:rsidR="00731D71" w:rsidRPr="00713C47" w:rsidRDefault="00731D71" w:rsidP="00731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3C47">
              <w:rPr>
                <w:rFonts w:ascii="Calibri" w:hAnsi="Calibri" w:cs="Calibri"/>
              </w:rPr>
              <w:t>0</w:t>
            </w:r>
          </w:p>
        </w:tc>
      </w:tr>
      <w:tr w:rsidR="00A81186" w:rsidRPr="00B2586A" w14:paraId="501A761A" w14:textId="77777777" w:rsidTr="003461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6C4FA4D" w14:textId="2A1CF671" w:rsidR="00A81186" w:rsidRDefault="00A81186" w:rsidP="00731D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Benzin</w:t>
            </w:r>
          </w:p>
        </w:tc>
        <w:tc>
          <w:tcPr>
            <w:tcW w:w="4508" w:type="dxa"/>
            <w:vAlign w:val="center"/>
          </w:tcPr>
          <w:p w14:paraId="4DC31571" w14:textId="01339D84" w:rsidR="00A81186" w:rsidRDefault="00351E5C" w:rsidP="00731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0,249</w:t>
            </w:r>
          </w:p>
        </w:tc>
      </w:tr>
      <w:tr w:rsidR="00102BB8" w:rsidRPr="00B2586A" w14:paraId="26ECE799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27928326" w14:textId="59CE8481" w:rsidR="00102BB8" w:rsidRDefault="00102BB8" w:rsidP="00731D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Solarni toplinski sustavi</w:t>
            </w:r>
          </w:p>
        </w:tc>
        <w:tc>
          <w:tcPr>
            <w:tcW w:w="4508" w:type="dxa"/>
            <w:vAlign w:val="center"/>
          </w:tcPr>
          <w:p w14:paraId="3ABE05AF" w14:textId="62BE41CC" w:rsidR="00102BB8" w:rsidRDefault="00102BB8" w:rsidP="00731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73DE0B44" w14:textId="77777777" w:rsidR="00C83D0B" w:rsidRPr="00B2586A" w:rsidRDefault="00C83D0B" w:rsidP="00C83D0B">
      <w:pPr>
        <w:jc w:val="center"/>
        <w:rPr>
          <w:rFonts w:ascii="Calibri" w:eastAsia="Calibri" w:hAnsi="Calibri" w:cs="Calibri"/>
          <w:highlight w:val="yellow"/>
        </w:rPr>
      </w:pPr>
    </w:p>
    <w:p w14:paraId="297D08A1" w14:textId="169C191D" w:rsidR="00E75338" w:rsidRDefault="00C83D0B" w:rsidP="00E34CA6">
      <w:pPr>
        <w:rPr>
          <w:rFonts w:ascii="Calibri" w:eastAsia="Calibri" w:hAnsi="Calibri" w:cs="Calibri"/>
          <w:szCs w:val="22"/>
        </w:rPr>
      </w:pPr>
      <w:r w:rsidRPr="00713C47">
        <w:rPr>
          <w:rFonts w:ascii="Calibri" w:eastAsia="Calibri" w:hAnsi="Calibri" w:cs="Calibri"/>
          <w:szCs w:val="22"/>
        </w:rPr>
        <w:t>Ukupne emisije CO</w:t>
      </w:r>
      <w:r w:rsidRPr="00713C47">
        <w:rPr>
          <w:rFonts w:ascii="Calibri" w:eastAsia="Calibri" w:hAnsi="Calibri" w:cs="Calibri"/>
          <w:szCs w:val="22"/>
          <w:vertAlign w:val="subscript"/>
        </w:rPr>
        <w:t>2</w:t>
      </w:r>
      <w:r w:rsidRPr="00713C47">
        <w:rPr>
          <w:rFonts w:ascii="Calibri" w:eastAsia="Calibri" w:hAnsi="Calibri" w:cs="Calibri"/>
          <w:szCs w:val="22"/>
        </w:rPr>
        <w:t xml:space="preserve"> sektora zgradarstva prikazane su u </w:t>
      </w:r>
      <w:r w:rsidR="00351E5C">
        <w:rPr>
          <w:rFonts w:ascii="Calibri" w:eastAsia="Calibri" w:hAnsi="Calibri" w:cs="Calibri"/>
          <w:szCs w:val="22"/>
        </w:rPr>
        <w:t>T</w:t>
      </w:r>
      <w:r w:rsidRPr="00713C47">
        <w:rPr>
          <w:rFonts w:ascii="Calibri" w:eastAsia="Calibri" w:hAnsi="Calibri" w:cs="Calibri"/>
          <w:szCs w:val="22"/>
        </w:rPr>
        <w:t xml:space="preserve">ablici </w:t>
      </w:r>
      <w:r w:rsidR="00727E78">
        <w:rPr>
          <w:rFonts w:ascii="Calibri" w:eastAsia="Calibri" w:hAnsi="Calibri" w:cs="Calibri"/>
          <w:szCs w:val="22"/>
        </w:rPr>
        <w:t>10</w:t>
      </w:r>
      <w:r w:rsidR="00351E5C" w:rsidRPr="00713C47">
        <w:rPr>
          <w:rFonts w:ascii="Calibri" w:eastAsia="Calibri" w:hAnsi="Calibri" w:cs="Calibri"/>
          <w:szCs w:val="22"/>
        </w:rPr>
        <w:t xml:space="preserve"> </w:t>
      </w:r>
      <w:r w:rsidRPr="00713C47">
        <w:rPr>
          <w:rFonts w:ascii="Calibri" w:eastAsia="Calibri" w:hAnsi="Calibri" w:cs="Calibri"/>
          <w:szCs w:val="22"/>
        </w:rPr>
        <w:t>i</w:t>
      </w:r>
      <w:r w:rsidR="007938B4" w:rsidRPr="00713C47">
        <w:rPr>
          <w:rFonts w:ascii="Calibri" w:eastAsia="Calibri" w:hAnsi="Calibri" w:cs="Calibri"/>
          <w:szCs w:val="22"/>
        </w:rPr>
        <w:t xml:space="preserve"> na</w:t>
      </w:r>
      <w:r w:rsidRPr="00713C47">
        <w:rPr>
          <w:rFonts w:ascii="Calibri" w:eastAsia="Calibri" w:hAnsi="Calibri" w:cs="Calibri"/>
          <w:szCs w:val="22"/>
        </w:rPr>
        <w:t xml:space="preserve"> </w:t>
      </w:r>
      <w:r w:rsidR="00351E5C">
        <w:rPr>
          <w:rFonts w:ascii="Calibri" w:eastAsia="Calibri" w:hAnsi="Calibri" w:cs="Calibri"/>
          <w:szCs w:val="22"/>
        </w:rPr>
        <w:t>S</w:t>
      </w:r>
      <w:r w:rsidR="00D579ED">
        <w:rPr>
          <w:rFonts w:ascii="Calibri" w:eastAsia="Calibri" w:hAnsi="Calibri" w:cs="Calibri"/>
          <w:szCs w:val="22"/>
        </w:rPr>
        <w:t>lici 7</w:t>
      </w:r>
      <w:r w:rsidRPr="00713C47">
        <w:rPr>
          <w:rFonts w:ascii="Calibri" w:eastAsia="Calibri" w:hAnsi="Calibri" w:cs="Calibri"/>
          <w:szCs w:val="22"/>
        </w:rPr>
        <w:t>.</w:t>
      </w:r>
    </w:p>
    <w:p w14:paraId="7ECD3910" w14:textId="7D7C1877" w:rsidR="00C83D0B" w:rsidRPr="00713C47" w:rsidRDefault="00C83D0B" w:rsidP="00535DE0">
      <w:pPr>
        <w:pStyle w:val="Opisslike"/>
      </w:pPr>
      <w:r w:rsidRPr="00713C47">
        <w:t xml:space="preserve">Tablica </w:t>
      </w:r>
      <w:r w:rsidR="00727E78">
        <w:t>10</w:t>
      </w:r>
      <w:r w:rsidR="0097582A" w:rsidRPr="00713C47">
        <w:rPr>
          <w:noProof/>
        </w:rPr>
        <w:t>:</w:t>
      </w:r>
      <w:r w:rsidR="0097582A" w:rsidRPr="00713C47">
        <w:t xml:space="preserve"> Emisije</w:t>
      </w:r>
      <w:r w:rsidRPr="00713C47">
        <w:t xml:space="preserve"> CO</w:t>
      </w:r>
      <w:r w:rsidRPr="00713C47">
        <w:rPr>
          <w:vertAlign w:val="subscript"/>
        </w:rPr>
        <w:t>2</w:t>
      </w:r>
      <w:r w:rsidRPr="00713C47">
        <w:t xml:space="preserve"> sektora zgradarstva Grada </w:t>
      </w:r>
      <w:r w:rsidR="00713C47" w:rsidRPr="00713C47">
        <w:t>Zadra</w:t>
      </w:r>
    </w:p>
    <w:tbl>
      <w:tblPr>
        <w:tblStyle w:val="GridTable4-Accent2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1189"/>
        <w:gridCol w:w="1079"/>
        <w:gridCol w:w="1275"/>
      </w:tblGrid>
      <w:tr w:rsidR="005E4906" w:rsidRPr="00917EF0" w14:paraId="7FFE814A" w14:textId="77777777" w:rsidTr="005E4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vAlign w:val="center"/>
          </w:tcPr>
          <w:p w14:paraId="22130776" w14:textId="25061955" w:rsidR="005E4906" w:rsidRPr="00917EF0" w:rsidRDefault="005E4906" w:rsidP="00FC33F7">
            <w:pPr>
              <w:tabs>
                <w:tab w:val="left" w:pos="1371"/>
              </w:tabs>
              <w:jc w:val="center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Kategorija</w:t>
            </w:r>
          </w:p>
        </w:tc>
        <w:tc>
          <w:tcPr>
            <w:tcW w:w="8363" w:type="dxa"/>
            <w:gridSpan w:val="7"/>
          </w:tcPr>
          <w:p w14:paraId="4F11FC07" w14:textId="50863884" w:rsidR="005E4906" w:rsidRPr="00917EF0" w:rsidRDefault="005E4906" w:rsidP="00FC33F7">
            <w:pPr>
              <w:tabs>
                <w:tab w:val="left" w:pos="1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Emisija CO</w:t>
            </w:r>
            <w:r w:rsidRPr="00917EF0">
              <w:rPr>
                <w:rFonts w:cstheme="minorHAnsi"/>
                <w:sz w:val="20"/>
                <w:vertAlign w:val="subscript"/>
              </w:rPr>
              <w:t>2</w:t>
            </w:r>
            <w:r w:rsidRPr="00917EF0">
              <w:rPr>
                <w:rFonts w:cstheme="minorHAnsi"/>
                <w:sz w:val="20"/>
              </w:rPr>
              <w:t xml:space="preserve"> (tCO</w:t>
            </w:r>
            <w:r w:rsidRPr="00917EF0">
              <w:rPr>
                <w:rFonts w:cstheme="minorHAnsi"/>
                <w:sz w:val="20"/>
                <w:vertAlign w:val="subscript"/>
              </w:rPr>
              <w:t>2</w:t>
            </w:r>
            <w:r w:rsidRPr="00917EF0">
              <w:rPr>
                <w:rFonts w:cstheme="minorHAnsi"/>
                <w:sz w:val="20"/>
              </w:rPr>
              <w:t>)</w:t>
            </w:r>
          </w:p>
        </w:tc>
      </w:tr>
      <w:tr w:rsidR="00917EF0" w:rsidRPr="00917EF0" w14:paraId="6C0A510D" w14:textId="77777777" w:rsidTr="005E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vAlign w:val="center"/>
          </w:tcPr>
          <w:p w14:paraId="61B2F189" w14:textId="77777777" w:rsidR="00917EF0" w:rsidRPr="00917EF0" w:rsidRDefault="00917EF0" w:rsidP="00917EF0">
            <w:pPr>
              <w:tabs>
                <w:tab w:val="left" w:pos="1371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14:paraId="6161E4C7" w14:textId="38A1CA89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Električna energija</w:t>
            </w:r>
          </w:p>
        </w:tc>
        <w:tc>
          <w:tcPr>
            <w:tcW w:w="1276" w:type="dxa"/>
          </w:tcPr>
          <w:p w14:paraId="28E90623" w14:textId="4568D28A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Ekstra lako loživo ulje</w:t>
            </w:r>
          </w:p>
        </w:tc>
        <w:tc>
          <w:tcPr>
            <w:tcW w:w="1134" w:type="dxa"/>
          </w:tcPr>
          <w:p w14:paraId="1DBCA4C6" w14:textId="0DC91371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Ogrijevno drvo</w:t>
            </w:r>
          </w:p>
        </w:tc>
        <w:tc>
          <w:tcPr>
            <w:tcW w:w="1134" w:type="dxa"/>
          </w:tcPr>
          <w:p w14:paraId="0E9D3FBD" w14:textId="71607D87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Prirodni plin</w:t>
            </w:r>
          </w:p>
        </w:tc>
        <w:tc>
          <w:tcPr>
            <w:tcW w:w="1189" w:type="dxa"/>
          </w:tcPr>
          <w:p w14:paraId="41A2F307" w14:textId="471D6C86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Ukapljeni naftni plin</w:t>
            </w:r>
          </w:p>
        </w:tc>
        <w:tc>
          <w:tcPr>
            <w:tcW w:w="1079" w:type="dxa"/>
          </w:tcPr>
          <w:p w14:paraId="32A20F12" w14:textId="1F4E8B35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Solarni toplinski sustavi</w:t>
            </w:r>
          </w:p>
        </w:tc>
        <w:tc>
          <w:tcPr>
            <w:tcW w:w="1275" w:type="dxa"/>
          </w:tcPr>
          <w:p w14:paraId="71E7FE0E" w14:textId="34015837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917EF0">
              <w:rPr>
                <w:rFonts w:cstheme="minorHAnsi"/>
                <w:b/>
                <w:sz w:val="20"/>
              </w:rPr>
              <w:t>UKUPNO</w:t>
            </w:r>
          </w:p>
        </w:tc>
      </w:tr>
      <w:tr w:rsidR="00917EF0" w:rsidRPr="00917EF0" w14:paraId="2367212B" w14:textId="77777777" w:rsidTr="005E4906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2D44433" w14:textId="4D021E68" w:rsidR="00917EF0" w:rsidRPr="00917EF0" w:rsidRDefault="00917EF0" w:rsidP="00917EF0">
            <w:pPr>
              <w:tabs>
                <w:tab w:val="left" w:pos="1371"/>
              </w:tabs>
              <w:jc w:val="center"/>
              <w:rPr>
                <w:rFonts w:cstheme="minorHAnsi"/>
                <w:b w:val="0"/>
                <w:sz w:val="20"/>
              </w:rPr>
            </w:pPr>
            <w:r w:rsidRPr="00917EF0">
              <w:rPr>
                <w:rFonts w:cstheme="minorHAnsi"/>
                <w:b w:val="0"/>
                <w:sz w:val="20"/>
              </w:rPr>
              <w:t>Zgrade Gradske uprave i Gradskih ustanova/poduzeća</w:t>
            </w:r>
          </w:p>
        </w:tc>
        <w:tc>
          <w:tcPr>
            <w:tcW w:w="1276" w:type="dxa"/>
          </w:tcPr>
          <w:p w14:paraId="089B02A1" w14:textId="3881AABB" w:rsidR="00917EF0" w:rsidRPr="00917EF0" w:rsidRDefault="00917EF0" w:rsidP="0079232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4.33</w:t>
            </w:r>
            <w:r w:rsidR="00804228">
              <w:rPr>
                <w:rFonts w:cstheme="minorHAnsi"/>
                <w:sz w:val="20"/>
              </w:rPr>
              <w:t>3,</w:t>
            </w:r>
            <w:r w:rsidR="001866B5">
              <w:rPr>
                <w:rFonts w:cstheme="minorHAnsi"/>
                <w:sz w:val="20"/>
              </w:rPr>
              <w:t>9</w:t>
            </w:r>
            <w:r w:rsidR="00792326">
              <w:rPr>
                <w:rFonts w:cstheme="minorHAnsi"/>
                <w:sz w:val="20"/>
              </w:rPr>
              <w:t>9</w:t>
            </w:r>
          </w:p>
        </w:tc>
        <w:tc>
          <w:tcPr>
            <w:tcW w:w="1276" w:type="dxa"/>
          </w:tcPr>
          <w:p w14:paraId="044948B3" w14:textId="3BD78E98" w:rsidR="00917EF0" w:rsidRPr="00917EF0" w:rsidRDefault="00903554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1.223</w:t>
            </w:r>
            <w:r w:rsidR="00804228">
              <w:rPr>
                <w:rFonts w:cstheme="minorHAnsi"/>
                <w:sz w:val="20"/>
              </w:rPr>
              <w:t>,32</w:t>
            </w:r>
          </w:p>
        </w:tc>
        <w:tc>
          <w:tcPr>
            <w:tcW w:w="1134" w:type="dxa"/>
          </w:tcPr>
          <w:p w14:paraId="0302212C" w14:textId="0166B63C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134" w:type="dxa"/>
          </w:tcPr>
          <w:p w14:paraId="0A76AB49" w14:textId="3F2C8363" w:rsidR="00917EF0" w:rsidRPr="00917EF0" w:rsidRDefault="00903554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579</w:t>
            </w:r>
            <w:r w:rsidR="00804228">
              <w:rPr>
                <w:rFonts w:cstheme="minorHAnsi"/>
                <w:sz w:val="20"/>
              </w:rPr>
              <w:t>,01</w:t>
            </w:r>
          </w:p>
        </w:tc>
        <w:tc>
          <w:tcPr>
            <w:tcW w:w="1189" w:type="dxa"/>
          </w:tcPr>
          <w:p w14:paraId="0595C21A" w14:textId="617F87FF" w:rsidR="00917EF0" w:rsidRPr="00917EF0" w:rsidRDefault="0016677E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/</w:t>
            </w:r>
          </w:p>
        </w:tc>
        <w:tc>
          <w:tcPr>
            <w:tcW w:w="1079" w:type="dxa"/>
          </w:tcPr>
          <w:p w14:paraId="7BF84D73" w14:textId="6025138D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67BB9C46" w14:textId="74912716" w:rsidR="00917EF0" w:rsidRPr="00917EF0" w:rsidRDefault="00903554" w:rsidP="00792326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6.136</w:t>
            </w:r>
            <w:r w:rsidR="00804228">
              <w:rPr>
                <w:rFonts w:cstheme="minorHAnsi"/>
                <w:b/>
                <w:sz w:val="20"/>
              </w:rPr>
              <w:t>,</w:t>
            </w:r>
            <w:r w:rsidR="001866B5">
              <w:rPr>
                <w:rFonts w:cstheme="minorHAnsi"/>
                <w:b/>
                <w:sz w:val="20"/>
              </w:rPr>
              <w:t>3</w:t>
            </w:r>
            <w:r w:rsidR="00792326">
              <w:rPr>
                <w:rFonts w:cstheme="minorHAnsi"/>
                <w:b/>
                <w:sz w:val="20"/>
              </w:rPr>
              <w:t>2</w:t>
            </w:r>
          </w:p>
        </w:tc>
      </w:tr>
      <w:tr w:rsidR="00917EF0" w:rsidRPr="00917EF0" w14:paraId="06FDDA97" w14:textId="77777777" w:rsidTr="005E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46702C23" w14:textId="0DB0F65E" w:rsidR="00917EF0" w:rsidRPr="00917EF0" w:rsidRDefault="00917EF0" w:rsidP="00917EF0">
            <w:pPr>
              <w:tabs>
                <w:tab w:val="left" w:pos="1371"/>
              </w:tabs>
              <w:jc w:val="center"/>
              <w:rPr>
                <w:rFonts w:cstheme="minorHAnsi"/>
                <w:b w:val="0"/>
                <w:sz w:val="20"/>
              </w:rPr>
            </w:pPr>
            <w:r w:rsidRPr="00917EF0">
              <w:rPr>
                <w:rFonts w:cstheme="minorHAnsi"/>
                <w:b w:val="0"/>
                <w:sz w:val="20"/>
              </w:rPr>
              <w:t>Stambeni objekti (kućanstva)</w:t>
            </w:r>
          </w:p>
        </w:tc>
        <w:tc>
          <w:tcPr>
            <w:tcW w:w="1276" w:type="dxa"/>
          </w:tcPr>
          <w:p w14:paraId="1BBE9284" w14:textId="08EA9A0D" w:rsidR="00917EF0" w:rsidRPr="00917EF0" w:rsidRDefault="00903554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63.13</w:t>
            </w:r>
            <w:r w:rsidR="00804228">
              <w:rPr>
                <w:rFonts w:cstheme="minorHAnsi"/>
                <w:sz w:val="20"/>
              </w:rPr>
              <w:t>2,80</w:t>
            </w:r>
          </w:p>
        </w:tc>
        <w:tc>
          <w:tcPr>
            <w:tcW w:w="1276" w:type="dxa"/>
          </w:tcPr>
          <w:p w14:paraId="585A196C" w14:textId="2B24A144" w:rsidR="00917EF0" w:rsidRPr="00917EF0" w:rsidRDefault="00903554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1.57</w:t>
            </w:r>
            <w:r w:rsidR="00804228">
              <w:rPr>
                <w:rFonts w:cstheme="minorHAnsi"/>
                <w:sz w:val="20"/>
              </w:rPr>
              <w:t>8,71</w:t>
            </w:r>
          </w:p>
        </w:tc>
        <w:tc>
          <w:tcPr>
            <w:tcW w:w="1134" w:type="dxa"/>
          </w:tcPr>
          <w:p w14:paraId="0402A93C" w14:textId="5C69C921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134" w:type="dxa"/>
          </w:tcPr>
          <w:p w14:paraId="138E34DB" w14:textId="374B7E8D" w:rsidR="00917EF0" w:rsidRPr="00917EF0" w:rsidRDefault="00903554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1.29</w:t>
            </w:r>
            <w:r w:rsidR="00804228">
              <w:rPr>
                <w:rFonts w:cstheme="minorHAnsi"/>
                <w:sz w:val="20"/>
              </w:rPr>
              <w:t>0,61</w:t>
            </w:r>
          </w:p>
        </w:tc>
        <w:tc>
          <w:tcPr>
            <w:tcW w:w="1189" w:type="dxa"/>
          </w:tcPr>
          <w:p w14:paraId="518E6942" w14:textId="6642C0AF" w:rsidR="00917EF0" w:rsidRPr="00917EF0" w:rsidRDefault="00903554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46</w:t>
            </w:r>
            <w:r w:rsidR="00804228">
              <w:rPr>
                <w:rFonts w:cstheme="minorHAnsi"/>
                <w:sz w:val="20"/>
              </w:rPr>
              <w:t>0,87</w:t>
            </w:r>
          </w:p>
        </w:tc>
        <w:tc>
          <w:tcPr>
            <w:tcW w:w="1079" w:type="dxa"/>
          </w:tcPr>
          <w:p w14:paraId="7DB3CD62" w14:textId="096BFDDD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79A6970E" w14:textId="29E6F522" w:rsidR="00917EF0" w:rsidRPr="00917EF0" w:rsidRDefault="00903554" w:rsidP="00804228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66.46</w:t>
            </w:r>
            <w:r w:rsidR="00804228">
              <w:rPr>
                <w:rFonts w:cstheme="minorHAnsi"/>
                <w:b/>
                <w:sz w:val="20"/>
              </w:rPr>
              <w:t>2,99</w:t>
            </w:r>
          </w:p>
        </w:tc>
      </w:tr>
      <w:tr w:rsidR="00917EF0" w:rsidRPr="00917EF0" w14:paraId="35D27A15" w14:textId="77777777" w:rsidTr="005E4906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3B798EA" w14:textId="2B6D50FD" w:rsidR="00917EF0" w:rsidRPr="00917EF0" w:rsidRDefault="00917EF0" w:rsidP="00917EF0">
            <w:pPr>
              <w:tabs>
                <w:tab w:val="left" w:pos="1371"/>
              </w:tabs>
              <w:jc w:val="center"/>
              <w:rPr>
                <w:rFonts w:cstheme="minorHAnsi"/>
                <w:b w:val="0"/>
                <w:sz w:val="20"/>
              </w:rPr>
            </w:pPr>
            <w:r w:rsidRPr="00917EF0">
              <w:rPr>
                <w:rFonts w:cstheme="minorHAnsi"/>
                <w:b w:val="0"/>
                <w:sz w:val="20"/>
              </w:rPr>
              <w:t>Zgrade komercijalnog i uslužnog sektora</w:t>
            </w:r>
          </w:p>
        </w:tc>
        <w:tc>
          <w:tcPr>
            <w:tcW w:w="1276" w:type="dxa"/>
          </w:tcPr>
          <w:p w14:paraId="3F22973A" w14:textId="1C56E0FC" w:rsidR="00917EF0" w:rsidRPr="00917EF0" w:rsidRDefault="00EC5CDE" w:rsidP="00804228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28.06</w:t>
            </w:r>
            <w:r w:rsidR="00804228">
              <w:rPr>
                <w:rFonts w:cstheme="minorHAnsi"/>
                <w:sz w:val="20"/>
              </w:rPr>
              <w:t>3,96</w:t>
            </w:r>
          </w:p>
        </w:tc>
        <w:tc>
          <w:tcPr>
            <w:tcW w:w="1276" w:type="dxa"/>
          </w:tcPr>
          <w:p w14:paraId="45721C7A" w14:textId="0C1F713C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1</w:t>
            </w:r>
            <w:r w:rsidR="00EC5CDE">
              <w:rPr>
                <w:rFonts w:cstheme="minorHAnsi"/>
                <w:sz w:val="20"/>
              </w:rPr>
              <w:t>1.264</w:t>
            </w:r>
            <w:r w:rsidR="00804228">
              <w:rPr>
                <w:rFonts w:cstheme="minorHAnsi"/>
                <w:sz w:val="20"/>
              </w:rPr>
              <w:t>,09</w:t>
            </w:r>
          </w:p>
        </w:tc>
        <w:tc>
          <w:tcPr>
            <w:tcW w:w="1134" w:type="dxa"/>
          </w:tcPr>
          <w:p w14:paraId="1DBB19A4" w14:textId="6155CCB5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134" w:type="dxa"/>
          </w:tcPr>
          <w:p w14:paraId="45BB5B7F" w14:textId="051935E5" w:rsidR="00917EF0" w:rsidRPr="00917EF0" w:rsidRDefault="00EC5CDE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2.160</w:t>
            </w:r>
            <w:r w:rsidR="00804228">
              <w:rPr>
                <w:rFonts w:cstheme="minorHAnsi"/>
                <w:sz w:val="20"/>
              </w:rPr>
              <w:t>,42</w:t>
            </w:r>
          </w:p>
        </w:tc>
        <w:tc>
          <w:tcPr>
            <w:tcW w:w="1189" w:type="dxa"/>
          </w:tcPr>
          <w:p w14:paraId="3FB1F58C" w14:textId="4C01EFE6" w:rsidR="00917EF0" w:rsidRPr="00917EF0" w:rsidRDefault="00917EF0" w:rsidP="000E1FC1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1.98</w:t>
            </w:r>
            <w:r w:rsidR="000E1FC1">
              <w:rPr>
                <w:rFonts w:cstheme="minorHAnsi"/>
                <w:sz w:val="20"/>
              </w:rPr>
              <w:t>0,51</w:t>
            </w:r>
          </w:p>
        </w:tc>
        <w:tc>
          <w:tcPr>
            <w:tcW w:w="1079" w:type="dxa"/>
          </w:tcPr>
          <w:p w14:paraId="038BE85C" w14:textId="0EF6C182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0</w:t>
            </w:r>
          </w:p>
        </w:tc>
        <w:tc>
          <w:tcPr>
            <w:tcW w:w="1275" w:type="dxa"/>
          </w:tcPr>
          <w:p w14:paraId="065995BF" w14:textId="444A8D1B" w:rsidR="00917EF0" w:rsidRPr="00917EF0" w:rsidRDefault="00EC5CDE" w:rsidP="00804228">
            <w:pPr>
              <w:tabs>
                <w:tab w:val="left" w:pos="13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43.46</w:t>
            </w:r>
            <w:r w:rsidR="00804228">
              <w:rPr>
                <w:rFonts w:cstheme="minorHAnsi"/>
                <w:b/>
                <w:sz w:val="20"/>
              </w:rPr>
              <w:t>8,98</w:t>
            </w:r>
          </w:p>
        </w:tc>
      </w:tr>
      <w:tr w:rsidR="00917EF0" w:rsidRPr="00917EF0" w14:paraId="2AE23326" w14:textId="77777777" w:rsidTr="005E4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6A24C39" w14:textId="77777777" w:rsidR="00917EF0" w:rsidRPr="00917EF0" w:rsidRDefault="00917EF0" w:rsidP="00917EF0">
            <w:pPr>
              <w:tabs>
                <w:tab w:val="left" w:pos="1371"/>
              </w:tabs>
              <w:jc w:val="center"/>
              <w:rPr>
                <w:rFonts w:cstheme="minorHAnsi"/>
                <w:sz w:val="20"/>
              </w:rPr>
            </w:pPr>
            <w:r w:rsidRPr="00917EF0">
              <w:rPr>
                <w:rFonts w:cstheme="minorHAnsi"/>
                <w:sz w:val="20"/>
              </w:rPr>
              <w:t>UKUPNO</w:t>
            </w:r>
          </w:p>
        </w:tc>
        <w:tc>
          <w:tcPr>
            <w:tcW w:w="1276" w:type="dxa"/>
          </w:tcPr>
          <w:p w14:paraId="18505B1C" w14:textId="7F9574F1" w:rsidR="00917EF0" w:rsidRPr="00917EF0" w:rsidRDefault="00917EF0" w:rsidP="00792326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917EF0">
              <w:rPr>
                <w:rFonts w:cstheme="minorHAnsi"/>
                <w:b/>
                <w:sz w:val="20"/>
              </w:rPr>
              <w:t>95.53</w:t>
            </w:r>
            <w:r w:rsidR="00804228">
              <w:rPr>
                <w:rFonts w:cstheme="minorHAnsi"/>
                <w:b/>
                <w:sz w:val="20"/>
              </w:rPr>
              <w:t>0,</w:t>
            </w:r>
            <w:r w:rsidR="00ED1D72">
              <w:rPr>
                <w:rFonts w:cstheme="minorHAnsi"/>
                <w:b/>
                <w:sz w:val="20"/>
              </w:rPr>
              <w:t>7</w:t>
            </w:r>
            <w:r w:rsidR="00792326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1276" w:type="dxa"/>
          </w:tcPr>
          <w:p w14:paraId="7B530351" w14:textId="23B44ECB" w:rsidR="00917EF0" w:rsidRPr="00917EF0" w:rsidRDefault="00917EF0" w:rsidP="00792326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917EF0">
              <w:rPr>
                <w:rFonts w:cstheme="minorHAnsi"/>
                <w:b/>
                <w:sz w:val="20"/>
              </w:rPr>
              <w:t>14.066</w:t>
            </w:r>
            <w:r w:rsidR="00804228">
              <w:rPr>
                <w:rFonts w:cstheme="minorHAnsi"/>
                <w:b/>
                <w:sz w:val="20"/>
              </w:rPr>
              <w:t>,</w:t>
            </w:r>
            <w:r w:rsidR="00ED1D72">
              <w:rPr>
                <w:rFonts w:cstheme="minorHAnsi"/>
                <w:b/>
                <w:sz w:val="20"/>
              </w:rPr>
              <w:t>1</w:t>
            </w:r>
            <w:r w:rsidR="00792326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528F2D71" w14:textId="339B1944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3AB327BF" w14:textId="780105FE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917EF0">
              <w:rPr>
                <w:rFonts w:cstheme="minorHAnsi"/>
                <w:b/>
                <w:sz w:val="20"/>
              </w:rPr>
              <w:t>4.030</w:t>
            </w:r>
            <w:r w:rsidR="00804228">
              <w:rPr>
                <w:rFonts w:cstheme="minorHAnsi"/>
                <w:b/>
                <w:sz w:val="20"/>
              </w:rPr>
              <w:t>,04</w:t>
            </w:r>
          </w:p>
        </w:tc>
        <w:tc>
          <w:tcPr>
            <w:tcW w:w="1189" w:type="dxa"/>
          </w:tcPr>
          <w:p w14:paraId="0608A4D4" w14:textId="17170CCC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917EF0">
              <w:rPr>
                <w:rFonts w:cstheme="minorHAnsi"/>
                <w:b/>
                <w:sz w:val="20"/>
              </w:rPr>
              <w:t>2.44</w:t>
            </w:r>
            <w:r w:rsidR="00EC5CDE">
              <w:rPr>
                <w:rFonts w:cstheme="minorHAnsi"/>
                <w:b/>
                <w:sz w:val="20"/>
              </w:rPr>
              <w:t>1</w:t>
            </w:r>
            <w:r w:rsidR="00804228">
              <w:rPr>
                <w:rFonts w:cstheme="minorHAnsi"/>
                <w:b/>
                <w:sz w:val="20"/>
              </w:rPr>
              <w:t>,38</w:t>
            </w:r>
          </w:p>
        </w:tc>
        <w:tc>
          <w:tcPr>
            <w:tcW w:w="1079" w:type="dxa"/>
          </w:tcPr>
          <w:p w14:paraId="4DB2EA1F" w14:textId="2B6A50E0" w:rsidR="00917EF0" w:rsidRPr="00917EF0" w:rsidRDefault="00917EF0" w:rsidP="00917EF0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</w:t>
            </w:r>
          </w:p>
        </w:tc>
        <w:tc>
          <w:tcPr>
            <w:tcW w:w="1275" w:type="dxa"/>
          </w:tcPr>
          <w:p w14:paraId="6894ADF3" w14:textId="573F845B" w:rsidR="00917EF0" w:rsidRPr="00917EF0" w:rsidRDefault="00917EF0" w:rsidP="00792326">
            <w:pPr>
              <w:tabs>
                <w:tab w:val="left" w:pos="137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917EF0">
              <w:rPr>
                <w:rFonts w:cstheme="minorHAnsi"/>
                <w:b/>
                <w:sz w:val="20"/>
              </w:rPr>
              <w:t>116.06</w:t>
            </w:r>
            <w:r w:rsidR="00EC5CDE">
              <w:rPr>
                <w:rFonts w:cstheme="minorHAnsi"/>
                <w:b/>
                <w:sz w:val="20"/>
              </w:rPr>
              <w:t>8</w:t>
            </w:r>
            <w:r w:rsidR="00804228">
              <w:rPr>
                <w:rFonts w:cstheme="minorHAnsi"/>
                <w:b/>
                <w:sz w:val="20"/>
              </w:rPr>
              <w:t>,</w:t>
            </w:r>
            <w:r w:rsidR="00ED1D72">
              <w:rPr>
                <w:rFonts w:cstheme="minorHAnsi"/>
                <w:b/>
                <w:sz w:val="20"/>
              </w:rPr>
              <w:t>2</w:t>
            </w:r>
            <w:r w:rsidR="00792326">
              <w:rPr>
                <w:rFonts w:cstheme="minorHAnsi"/>
                <w:b/>
                <w:sz w:val="20"/>
              </w:rPr>
              <w:t>9</w:t>
            </w:r>
          </w:p>
        </w:tc>
      </w:tr>
    </w:tbl>
    <w:p w14:paraId="42D0F38C" w14:textId="39A5C3CB" w:rsidR="00C83D0B" w:rsidRDefault="00C83D0B" w:rsidP="00C83D0B">
      <w:pPr>
        <w:tabs>
          <w:tab w:val="left" w:pos="1371"/>
        </w:tabs>
        <w:jc w:val="center"/>
        <w:rPr>
          <w:noProof/>
          <w:highlight w:val="yellow"/>
          <w:lang w:val="en-US"/>
        </w:rPr>
      </w:pPr>
    </w:p>
    <w:p w14:paraId="275522E2" w14:textId="5BAD9469" w:rsidR="003D1252" w:rsidRDefault="003D1252" w:rsidP="00C83D0B">
      <w:pPr>
        <w:tabs>
          <w:tab w:val="left" w:pos="1371"/>
        </w:tabs>
        <w:jc w:val="center"/>
        <w:rPr>
          <w:rFonts w:ascii="Calibri" w:eastAsia="Calibri" w:hAnsi="Calibri" w:cs="Calibri"/>
          <w:highlight w:val="yellow"/>
        </w:rPr>
      </w:pPr>
    </w:p>
    <w:p w14:paraId="00CA999B" w14:textId="58EA2957" w:rsidR="00112DBC" w:rsidRPr="00B2586A" w:rsidRDefault="00B65B41" w:rsidP="00C83D0B">
      <w:pPr>
        <w:tabs>
          <w:tab w:val="left" w:pos="1371"/>
        </w:tabs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lastRenderedPageBreak/>
        <w:drawing>
          <wp:inline distT="0" distB="0" distL="0" distR="0" wp14:anchorId="5D01360B" wp14:editId="52D34995">
            <wp:extent cx="5105400" cy="4126154"/>
            <wp:effectExtent l="0" t="0" r="0" b="825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048" cy="4137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C2B48" w14:textId="73E2BD07" w:rsidR="00C83D0B" w:rsidRPr="0086438F" w:rsidRDefault="00112DBC">
      <w:pPr>
        <w:pStyle w:val="Opisslike"/>
      </w:pPr>
      <w:r>
        <w:t xml:space="preserve">Slika </w:t>
      </w:r>
      <w:r w:rsidR="00F03229">
        <w:rPr>
          <w:noProof/>
        </w:rPr>
        <w:fldChar w:fldCharType="begin"/>
      </w:r>
      <w:r w:rsidR="00F03229">
        <w:rPr>
          <w:noProof/>
        </w:rPr>
        <w:instrText xml:space="preserve"> SEQ Slika \* ARABIC </w:instrText>
      </w:r>
      <w:r w:rsidR="00F03229">
        <w:rPr>
          <w:noProof/>
        </w:rPr>
        <w:fldChar w:fldCharType="separate"/>
      </w:r>
      <w:r>
        <w:rPr>
          <w:noProof/>
        </w:rPr>
        <w:t>7</w:t>
      </w:r>
      <w:r w:rsidR="00F03229">
        <w:rPr>
          <w:noProof/>
        </w:rPr>
        <w:fldChar w:fldCharType="end"/>
      </w:r>
      <w:r w:rsidR="007938B4" w:rsidRPr="0086438F">
        <w:t>:</w:t>
      </w:r>
      <w:r w:rsidR="00C83D0B" w:rsidRPr="0086438F">
        <w:t xml:space="preserve"> Emisije CO</w:t>
      </w:r>
      <w:r w:rsidR="00C83D0B" w:rsidRPr="0086438F">
        <w:rPr>
          <w:vertAlign w:val="subscript"/>
        </w:rPr>
        <w:t>2</w:t>
      </w:r>
      <w:r w:rsidR="00C83D0B" w:rsidRPr="0086438F">
        <w:t xml:space="preserve"> iz sektora zgradarstva</w:t>
      </w:r>
      <w:r w:rsidR="00645B76">
        <w:t>, 2017.</w:t>
      </w:r>
    </w:p>
    <w:p w14:paraId="04B558CE" w14:textId="38DF5529" w:rsidR="00C83D0B" w:rsidRPr="004E2AB2" w:rsidRDefault="00946AE9" w:rsidP="00C83D0B">
      <w:pPr>
        <w:rPr>
          <w:rFonts w:ascii="Calibri" w:eastAsia="Calibri" w:hAnsi="Calibri" w:cs="Calibri"/>
          <w:szCs w:val="22"/>
        </w:rPr>
      </w:pPr>
      <w:r w:rsidRPr="004E2AB2">
        <w:rPr>
          <w:rFonts w:ascii="Calibri" w:eastAsia="Calibri" w:hAnsi="Calibri" w:cs="Calibri"/>
          <w:szCs w:val="22"/>
        </w:rPr>
        <w:t>Najveći</w:t>
      </w:r>
      <w:r w:rsidR="0097582A" w:rsidRPr="004E2AB2">
        <w:rPr>
          <w:rFonts w:ascii="Calibri" w:eastAsia="Calibri" w:hAnsi="Calibri" w:cs="Calibri"/>
          <w:szCs w:val="22"/>
        </w:rPr>
        <w:t xml:space="preserve"> udio u ukupnim emisijama </w:t>
      </w:r>
      <w:r w:rsidR="00C83D0B" w:rsidRPr="004E2AB2">
        <w:rPr>
          <w:rFonts w:ascii="Calibri" w:eastAsia="Calibri" w:hAnsi="Calibri" w:cs="Calibri"/>
          <w:szCs w:val="22"/>
        </w:rPr>
        <w:t>CO</w:t>
      </w:r>
      <w:r w:rsidR="00C83D0B" w:rsidRPr="004E2AB2">
        <w:rPr>
          <w:rFonts w:ascii="Calibri" w:eastAsia="Calibri" w:hAnsi="Calibri" w:cs="Calibri"/>
          <w:szCs w:val="22"/>
          <w:vertAlign w:val="subscript"/>
        </w:rPr>
        <w:t>2</w:t>
      </w:r>
      <w:r w:rsidR="00C83D0B" w:rsidRPr="004E2AB2">
        <w:rPr>
          <w:rFonts w:ascii="Calibri" w:eastAsia="Calibri" w:hAnsi="Calibri" w:cs="Calibri"/>
          <w:szCs w:val="22"/>
        </w:rPr>
        <w:t xml:space="preserve"> </w:t>
      </w:r>
      <w:r w:rsidR="0097582A" w:rsidRPr="004E2AB2">
        <w:rPr>
          <w:rFonts w:ascii="Calibri" w:eastAsia="Calibri" w:hAnsi="Calibri" w:cs="Calibri"/>
          <w:szCs w:val="22"/>
        </w:rPr>
        <w:t>sektora zgradarstva čine emisije</w:t>
      </w:r>
      <w:r w:rsidR="00C83D0B" w:rsidRPr="004E2AB2">
        <w:rPr>
          <w:rFonts w:ascii="Calibri" w:eastAsia="Calibri" w:hAnsi="Calibri" w:cs="Calibri"/>
          <w:szCs w:val="22"/>
        </w:rPr>
        <w:t xml:space="preserve"> iz električne energije s u</w:t>
      </w:r>
      <w:r w:rsidR="0097582A" w:rsidRPr="004E2AB2">
        <w:rPr>
          <w:rFonts w:ascii="Calibri" w:eastAsia="Calibri" w:hAnsi="Calibri" w:cs="Calibri"/>
          <w:szCs w:val="22"/>
        </w:rPr>
        <w:t xml:space="preserve">djelom od </w:t>
      </w:r>
      <w:r w:rsidR="004E2AB2" w:rsidRPr="004E2AB2">
        <w:rPr>
          <w:rFonts w:ascii="Calibri" w:eastAsia="Calibri" w:hAnsi="Calibri" w:cs="Calibri"/>
          <w:szCs w:val="22"/>
        </w:rPr>
        <w:t>82</w:t>
      </w:r>
      <w:r w:rsidR="0027222A">
        <w:rPr>
          <w:rFonts w:ascii="Calibri" w:eastAsia="Calibri" w:hAnsi="Calibri" w:cs="Calibri"/>
          <w:szCs w:val="22"/>
        </w:rPr>
        <w:t>,31</w:t>
      </w:r>
      <w:r w:rsidR="0097582A" w:rsidRPr="004E2AB2">
        <w:rPr>
          <w:rFonts w:ascii="Calibri" w:eastAsia="Calibri" w:hAnsi="Calibri" w:cs="Calibri"/>
          <w:szCs w:val="22"/>
        </w:rPr>
        <w:t xml:space="preserve"> %, zatim slijede emisije</w:t>
      </w:r>
      <w:r w:rsidR="00C83D0B" w:rsidRPr="004E2AB2">
        <w:rPr>
          <w:rFonts w:ascii="Calibri" w:eastAsia="Calibri" w:hAnsi="Calibri" w:cs="Calibri"/>
          <w:szCs w:val="22"/>
        </w:rPr>
        <w:t xml:space="preserve"> iz </w:t>
      </w:r>
      <w:r w:rsidR="004E2AB2" w:rsidRPr="004E2AB2">
        <w:rPr>
          <w:rFonts w:ascii="Calibri" w:eastAsia="Calibri" w:hAnsi="Calibri" w:cs="Calibri"/>
          <w:szCs w:val="22"/>
        </w:rPr>
        <w:t>ekstra lakog loživog ulja</w:t>
      </w:r>
      <w:r w:rsidR="00C83D0B" w:rsidRPr="004E2AB2">
        <w:rPr>
          <w:rFonts w:ascii="Calibri" w:eastAsia="Calibri" w:hAnsi="Calibri" w:cs="Calibri"/>
          <w:szCs w:val="22"/>
        </w:rPr>
        <w:t xml:space="preserve"> </w:t>
      </w:r>
      <w:r w:rsidR="004E2AB2" w:rsidRPr="004E2AB2">
        <w:rPr>
          <w:rFonts w:ascii="Calibri" w:eastAsia="Calibri" w:hAnsi="Calibri" w:cs="Calibri"/>
          <w:szCs w:val="22"/>
        </w:rPr>
        <w:t xml:space="preserve">s udjelom od </w:t>
      </w:r>
      <w:r w:rsidR="00C83D0B" w:rsidRPr="004E2AB2">
        <w:rPr>
          <w:rFonts w:ascii="Calibri" w:eastAsia="Calibri" w:hAnsi="Calibri" w:cs="Calibri"/>
          <w:szCs w:val="22"/>
        </w:rPr>
        <w:t>1</w:t>
      </w:r>
      <w:r w:rsidR="004E2AB2" w:rsidRPr="004E2AB2">
        <w:rPr>
          <w:rFonts w:ascii="Calibri" w:eastAsia="Calibri" w:hAnsi="Calibri" w:cs="Calibri"/>
          <w:szCs w:val="22"/>
        </w:rPr>
        <w:t>2</w:t>
      </w:r>
      <w:r w:rsidR="0027222A">
        <w:rPr>
          <w:rFonts w:ascii="Calibri" w:eastAsia="Calibri" w:hAnsi="Calibri" w:cs="Calibri"/>
          <w:szCs w:val="22"/>
        </w:rPr>
        <w:t>,12</w:t>
      </w:r>
      <w:r w:rsidR="0019504C">
        <w:rPr>
          <w:rFonts w:ascii="Calibri" w:eastAsia="Calibri" w:hAnsi="Calibri" w:cs="Calibri"/>
          <w:szCs w:val="22"/>
        </w:rPr>
        <w:t xml:space="preserve"> </w:t>
      </w:r>
      <w:r w:rsidR="00C83D0B" w:rsidRPr="004E2AB2">
        <w:rPr>
          <w:rFonts w:ascii="Calibri" w:eastAsia="Calibri" w:hAnsi="Calibri" w:cs="Calibri"/>
          <w:szCs w:val="22"/>
        </w:rPr>
        <w:t>%</w:t>
      </w:r>
      <w:r w:rsidR="0019504C">
        <w:rPr>
          <w:rFonts w:ascii="Calibri" w:eastAsia="Calibri" w:hAnsi="Calibri" w:cs="Calibri"/>
          <w:szCs w:val="22"/>
        </w:rPr>
        <w:t xml:space="preserve"> te prirodnog plina s 3,47 % i ukapljenog naftnog plina s 2,10 %</w:t>
      </w:r>
      <w:r w:rsidR="00C83D0B" w:rsidRPr="004E2AB2">
        <w:rPr>
          <w:rFonts w:ascii="Calibri" w:eastAsia="Calibri" w:hAnsi="Calibri" w:cs="Calibri"/>
          <w:szCs w:val="22"/>
        </w:rPr>
        <w:t xml:space="preserve">, </w:t>
      </w:r>
      <w:r w:rsidR="00BD0F48">
        <w:rPr>
          <w:rFonts w:ascii="Calibri" w:eastAsia="Calibri" w:hAnsi="Calibri" w:cs="Calibri"/>
          <w:szCs w:val="22"/>
        </w:rPr>
        <w:t>S</w:t>
      </w:r>
      <w:r w:rsidR="00D579ED">
        <w:rPr>
          <w:rFonts w:ascii="Calibri" w:eastAsia="Calibri" w:hAnsi="Calibri" w:cs="Calibri"/>
          <w:szCs w:val="22"/>
        </w:rPr>
        <w:t>lika 8</w:t>
      </w:r>
      <w:r w:rsidR="00C83D0B" w:rsidRPr="004E2AB2">
        <w:rPr>
          <w:rFonts w:ascii="Calibri" w:eastAsia="Calibri" w:hAnsi="Calibri" w:cs="Calibri"/>
          <w:szCs w:val="22"/>
        </w:rPr>
        <w:t>.</w:t>
      </w:r>
    </w:p>
    <w:p w14:paraId="2BE7C846" w14:textId="77777777" w:rsidR="00C83D0B" w:rsidRPr="00B2586A" w:rsidRDefault="00C83D0B" w:rsidP="00C83D0B">
      <w:pPr>
        <w:rPr>
          <w:rFonts w:ascii="Calibri" w:eastAsia="Calibri" w:hAnsi="Calibri" w:cs="Calibri"/>
          <w:highlight w:val="yellow"/>
        </w:rPr>
      </w:pPr>
    </w:p>
    <w:p w14:paraId="75FAED95" w14:textId="5454AF4A" w:rsidR="00C83D0B" w:rsidRPr="00B2586A" w:rsidRDefault="006E2B45" w:rsidP="00C83D0B">
      <w:pPr>
        <w:jc w:val="center"/>
        <w:rPr>
          <w:rFonts w:ascii="Calibri" w:eastAsia="Calibri" w:hAnsi="Calibri" w:cs="Calibri"/>
          <w:highlight w:val="yellow"/>
        </w:rPr>
      </w:pPr>
      <w:r>
        <w:rPr>
          <w:noProof/>
          <w:lang w:eastAsia="hr-HR"/>
        </w:rPr>
        <w:drawing>
          <wp:inline distT="0" distB="0" distL="0" distR="0" wp14:anchorId="4FD585AB" wp14:editId="10B77A39">
            <wp:extent cx="5972810" cy="3260090"/>
            <wp:effectExtent l="0" t="0" r="8890" b="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6796A43" w14:textId="7E97A1D1" w:rsidR="00C83D0B" w:rsidRPr="006E2B45" w:rsidRDefault="00C83D0B" w:rsidP="00535DE0">
      <w:pPr>
        <w:pStyle w:val="Opisslike"/>
      </w:pPr>
      <w:r w:rsidRPr="006E2B45">
        <w:lastRenderedPageBreak/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06A79">
        <w:rPr>
          <w:noProof/>
        </w:rPr>
        <w:t>8</w:t>
      </w:r>
      <w:r w:rsidR="00482BED">
        <w:rPr>
          <w:noProof/>
        </w:rPr>
        <w:fldChar w:fldCharType="end"/>
      </w:r>
      <w:r w:rsidR="00B9440B" w:rsidRPr="006E2B45">
        <w:t>:</w:t>
      </w:r>
      <w:r w:rsidRPr="006E2B45">
        <w:t xml:space="preserve"> Udio pojedinog energenta u ukupnoj emisiji CO</w:t>
      </w:r>
      <w:r w:rsidRPr="006E2B45">
        <w:rPr>
          <w:vertAlign w:val="subscript"/>
        </w:rPr>
        <w:t>2</w:t>
      </w:r>
      <w:r w:rsidRPr="006E2B45">
        <w:t xml:space="preserve"> iz sektora zgradarstva</w:t>
      </w:r>
    </w:p>
    <w:p w14:paraId="50DAC576" w14:textId="5E6B9615" w:rsidR="0027222A" w:rsidRPr="00B818CD" w:rsidRDefault="0027222A" w:rsidP="0027222A">
      <w:pPr>
        <w:rPr>
          <w:rFonts w:ascii="Calibri" w:eastAsia="Calibri" w:hAnsi="Calibri" w:cs="Calibri"/>
          <w:szCs w:val="22"/>
        </w:rPr>
      </w:pPr>
      <w:r w:rsidRPr="00B818CD">
        <w:rPr>
          <w:rFonts w:ascii="Calibri" w:eastAsia="Calibri" w:hAnsi="Calibri" w:cs="Calibri"/>
          <w:szCs w:val="22"/>
        </w:rPr>
        <w:t>Promatrajući podsektore unutar sektora zgradarstva najveći udio u ukupnim emisijama čine stamben</w:t>
      </w:r>
      <w:r>
        <w:rPr>
          <w:rFonts w:ascii="Calibri" w:eastAsia="Calibri" w:hAnsi="Calibri" w:cs="Calibri"/>
          <w:szCs w:val="22"/>
        </w:rPr>
        <w:t>i objekti (kućanstva)</w:t>
      </w:r>
      <w:r w:rsidRPr="00B818CD">
        <w:rPr>
          <w:rFonts w:ascii="Calibri" w:eastAsia="Calibri" w:hAnsi="Calibri" w:cs="Calibri"/>
          <w:szCs w:val="22"/>
        </w:rPr>
        <w:t xml:space="preserve"> 57,26 %, zatim zgrade komercijaln</w:t>
      </w:r>
      <w:r>
        <w:rPr>
          <w:rFonts w:ascii="Calibri" w:eastAsia="Calibri" w:hAnsi="Calibri" w:cs="Calibri"/>
          <w:szCs w:val="22"/>
        </w:rPr>
        <w:t>og</w:t>
      </w:r>
      <w:r w:rsidRPr="00B818CD">
        <w:rPr>
          <w:rFonts w:ascii="Calibri" w:eastAsia="Calibri" w:hAnsi="Calibri" w:cs="Calibri"/>
          <w:szCs w:val="22"/>
        </w:rPr>
        <w:t xml:space="preserve"> i uslužn</w:t>
      </w:r>
      <w:r>
        <w:rPr>
          <w:rFonts w:ascii="Calibri" w:eastAsia="Calibri" w:hAnsi="Calibri" w:cs="Calibri"/>
          <w:szCs w:val="22"/>
        </w:rPr>
        <w:t>og sektora</w:t>
      </w:r>
      <w:r w:rsidRPr="00B818CD">
        <w:rPr>
          <w:rFonts w:ascii="Calibri" w:eastAsia="Calibri" w:hAnsi="Calibri" w:cs="Calibri"/>
          <w:szCs w:val="22"/>
        </w:rPr>
        <w:t xml:space="preserve"> 37,45 % te zgrade </w:t>
      </w:r>
      <w:r>
        <w:rPr>
          <w:rFonts w:ascii="Calibri" w:eastAsia="Calibri" w:hAnsi="Calibri" w:cs="Calibri"/>
          <w:szCs w:val="22"/>
        </w:rPr>
        <w:t>Gradske uprave i Gradskih ustanova/poduzeća</w:t>
      </w:r>
      <w:r w:rsidR="00D579ED">
        <w:rPr>
          <w:rFonts w:ascii="Calibri" w:eastAsia="Calibri" w:hAnsi="Calibri" w:cs="Calibri"/>
          <w:szCs w:val="22"/>
        </w:rPr>
        <w:t xml:space="preserve"> 5,29 %, </w:t>
      </w:r>
      <w:r w:rsidR="0019504C">
        <w:rPr>
          <w:rFonts w:ascii="Calibri" w:eastAsia="Calibri" w:hAnsi="Calibri" w:cs="Calibri"/>
          <w:szCs w:val="22"/>
        </w:rPr>
        <w:t>S</w:t>
      </w:r>
      <w:r w:rsidR="00D579ED">
        <w:rPr>
          <w:rFonts w:ascii="Calibri" w:eastAsia="Calibri" w:hAnsi="Calibri" w:cs="Calibri"/>
          <w:szCs w:val="22"/>
        </w:rPr>
        <w:t>lika 9</w:t>
      </w:r>
      <w:r w:rsidRPr="00B818CD">
        <w:rPr>
          <w:rFonts w:ascii="Calibri" w:eastAsia="Calibri" w:hAnsi="Calibri" w:cs="Calibri"/>
          <w:szCs w:val="22"/>
        </w:rPr>
        <w:t>.</w:t>
      </w:r>
    </w:p>
    <w:p w14:paraId="6AEE4D00" w14:textId="2E5D8F5C" w:rsidR="00C83D0B" w:rsidRPr="00B2586A" w:rsidRDefault="00B65B41" w:rsidP="007A7813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drawing>
          <wp:inline distT="0" distB="0" distL="0" distR="0" wp14:anchorId="5BFA28B5" wp14:editId="0FFB1820">
            <wp:extent cx="5016785" cy="335915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341" cy="337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FA61C" w14:textId="3E618AF1" w:rsidR="008B56AB" w:rsidRDefault="00C83D0B" w:rsidP="00535DE0">
      <w:pPr>
        <w:pStyle w:val="Opisslike"/>
        <w:rPr>
          <w:rFonts w:ascii="Calibri" w:eastAsia="Calibri" w:hAnsi="Calibri" w:cs="Calibri"/>
          <w:highlight w:val="yellow"/>
        </w:rPr>
      </w:pPr>
      <w:r w:rsidRPr="006E2B45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06A79">
        <w:rPr>
          <w:noProof/>
        </w:rPr>
        <w:t>9</w:t>
      </w:r>
      <w:r w:rsidR="00482BED">
        <w:rPr>
          <w:noProof/>
        </w:rPr>
        <w:fldChar w:fldCharType="end"/>
      </w:r>
      <w:r w:rsidR="00B9440B" w:rsidRPr="006E2B45">
        <w:t>:</w:t>
      </w:r>
      <w:r w:rsidRPr="006E2B45">
        <w:t xml:space="preserve"> Udio pojedinog podsektora u ukupnoj emisiji CO</w:t>
      </w:r>
      <w:r w:rsidRPr="006E2B45">
        <w:rPr>
          <w:vertAlign w:val="subscript"/>
        </w:rPr>
        <w:t>2</w:t>
      </w:r>
      <w:r w:rsidRPr="006E2B45">
        <w:t xml:space="preserve"> iz sektora zgradarstva</w:t>
      </w:r>
      <w:r w:rsidR="008B56AB">
        <w:rPr>
          <w:rFonts w:ascii="Calibri" w:eastAsia="Calibri" w:hAnsi="Calibri" w:cs="Calibri"/>
          <w:highlight w:val="yellow"/>
        </w:rPr>
        <w:br w:type="page"/>
      </w:r>
    </w:p>
    <w:p w14:paraId="3B4E833F" w14:textId="77777777" w:rsidR="00C83D0B" w:rsidRPr="00535DE0" w:rsidRDefault="00C83D0B" w:rsidP="00E326D8">
      <w:pPr>
        <w:pStyle w:val="Naslov2"/>
      </w:pPr>
      <w:r w:rsidRPr="00535DE0">
        <w:lastRenderedPageBreak/>
        <w:t>Kontrolni inventar emisija CO</w:t>
      </w:r>
      <w:r w:rsidRPr="00535DE0">
        <w:rPr>
          <w:vertAlign w:val="subscript"/>
        </w:rPr>
        <w:t>2</w:t>
      </w:r>
      <w:r w:rsidRPr="00535DE0">
        <w:t xml:space="preserve"> iz sektora prometa</w:t>
      </w:r>
    </w:p>
    <w:p w14:paraId="23BB7FAA" w14:textId="77777777" w:rsidR="007F1949" w:rsidRPr="00535DE0" w:rsidRDefault="007F1949" w:rsidP="00C83D0B"/>
    <w:p w14:paraId="0407005A" w14:textId="52871849" w:rsidR="00C83D0B" w:rsidRPr="00B818CD" w:rsidRDefault="00C83D0B" w:rsidP="00C83D0B">
      <w:pPr>
        <w:rPr>
          <w:rFonts w:ascii="Calibri" w:eastAsia="Calibri" w:hAnsi="Calibri" w:cs="Calibri"/>
          <w:szCs w:val="22"/>
        </w:rPr>
      </w:pPr>
      <w:r w:rsidRPr="00535DE0">
        <w:rPr>
          <w:rFonts w:ascii="Calibri" w:eastAsia="Calibri" w:hAnsi="Calibri" w:cs="Calibri"/>
          <w:szCs w:val="22"/>
        </w:rPr>
        <w:t>U urbanim je sredinama</w:t>
      </w:r>
      <w:r w:rsidRPr="00B818CD">
        <w:rPr>
          <w:rFonts w:ascii="Calibri" w:eastAsia="Calibri" w:hAnsi="Calibri" w:cs="Calibri"/>
          <w:szCs w:val="22"/>
        </w:rPr>
        <w:t xml:space="preserve"> sektor prometa, osobito cestovni promet, najznačajniji čimbenik onečišćenja zraka koji u velikoj mjeri </w:t>
      </w:r>
      <w:r w:rsidR="00675B7B" w:rsidRPr="00B818CD">
        <w:rPr>
          <w:rFonts w:ascii="Calibri" w:eastAsia="Calibri" w:hAnsi="Calibri" w:cs="Calibri"/>
          <w:szCs w:val="22"/>
        </w:rPr>
        <w:t>doprinosi</w:t>
      </w:r>
      <w:r w:rsidRPr="00B818CD">
        <w:rPr>
          <w:rFonts w:ascii="Calibri" w:eastAsia="Calibri" w:hAnsi="Calibri" w:cs="Calibri"/>
          <w:szCs w:val="22"/>
        </w:rPr>
        <w:t xml:space="preserve"> stvaranju stakleničkih plinova – CO</w:t>
      </w:r>
      <w:r w:rsidRPr="00B818CD">
        <w:rPr>
          <w:rFonts w:ascii="Calibri" w:eastAsia="Calibri" w:hAnsi="Calibri" w:cs="Calibri"/>
          <w:szCs w:val="22"/>
          <w:vertAlign w:val="subscript"/>
        </w:rPr>
        <w:t>2</w:t>
      </w:r>
      <w:r w:rsidRPr="00B818CD">
        <w:rPr>
          <w:rFonts w:ascii="Calibri" w:eastAsia="Calibri" w:hAnsi="Calibri" w:cs="Calibri"/>
          <w:szCs w:val="22"/>
        </w:rPr>
        <w:t>, CH</w:t>
      </w:r>
      <w:r w:rsidRPr="00B818CD">
        <w:rPr>
          <w:rFonts w:ascii="Calibri" w:eastAsia="Calibri" w:hAnsi="Calibri" w:cs="Calibri"/>
          <w:szCs w:val="22"/>
          <w:vertAlign w:val="subscript"/>
        </w:rPr>
        <w:t>4</w:t>
      </w:r>
      <w:r w:rsidRPr="00B818CD">
        <w:rPr>
          <w:rFonts w:ascii="Calibri" w:eastAsia="Calibri" w:hAnsi="Calibri" w:cs="Calibri"/>
          <w:szCs w:val="22"/>
        </w:rPr>
        <w:t xml:space="preserve"> i N</w:t>
      </w:r>
      <w:r w:rsidRPr="00B818CD">
        <w:rPr>
          <w:rFonts w:ascii="Calibri" w:eastAsia="Calibri" w:hAnsi="Calibri" w:cs="Calibri"/>
          <w:szCs w:val="22"/>
          <w:vertAlign w:val="subscript"/>
        </w:rPr>
        <w:t>2</w:t>
      </w:r>
      <w:r w:rsidRPr="00B818CD">
        <w:rPr>
          <w:rFonts w:ascii="Calibri" w:eastAsia="Calibri" w:hAnsi="Calibri" w:cs="Calibri"/>
          <w:szCs w:val="22"/>
        </w:rPr>
        <w:t>O. Emisija CO</w:t>
      </w:r>
      <w:r w:rsidRPr="00B818CD">
        <w:rPr>
          <w:rFonts w:ascii="Calibri" w:eastAsia="Calibri" w:hAnsi="Calibri" w:cs="Calibri"/>
          <w:szCs w:val="22"/>
          <w:vertAlign w:val="subscript"/>
        </w:rPr>
        <w:t>2</w:t>
      </w:r>
      <w:r w:rsidRPr="00B818CD">
        <w:rPr>
          <w:rFonts w:ascii="Calibri" w:eastAsia="Calibri" w:hAnsi="Calibri" w:cs="Calibri"/>
          <w:szCs w:val="22"/>
        </w:rPr>
        <w:t xml:space="preserve"> iz motornih vozila ovisna je o brojnim parametrima od kojih su glavni </w:t>
      </w:r>
      <w:r w:rsidR="00946AE9" w:rsidRPr="00B818CD">
        <w:rPr>
          <w:rFonts w:ascii="Calibri" w:eastAsia="Calibri" w:hAnsi="Calibri" w:cs="Calibri"/>
          <w:szCs w:val="22"/>
        </w:rPr>
        <w:t>kakvoća</w:t>
      </w:r>
      <w:r w:rsidRPr="00B818CD">
        <w:rPr>
          <w:rFonts w:ascii="Calibri" w:eastAsia="Calibri" w:hAnsi="Calibri" w:cs="Calibri"/>
          <w:szCs w:val="22"/>
        </w:rPr>
        <w:t xml:space="preserve"> goriva, konstrukcijske izvedbe motora i vozila, režim vožnje, vanjski meteorološki uvjeti, održavanje motora i njegova starost i dr.</w:t>
      </w:r>
      <w:r w:rsidR="00A811A5">
        <w:rPr>
          <w:rFonts w:ascii="Calibri" w:eastAsia="Calibri" w:hAnsi="Calibri" w:cs="Calibri"/>
          <w:szCs w:val="22"/>
        </w:rPr>
        <w:t>.</w:t>
      </w:r>
    </w:p>
    <w:p w14:paraId="1BA53139" w14:textId="77777777" w:rsidR="00C83D0B" w:rsidRPr="00B818CD" w:rsidRDefault="00C83D0B" w:rsidP="00C83D0B">
      <w:pPr>
        <w:rPr>
          <w:rFonts w:ascii="Calibri" w:eastAsia="Calibri" w:hAnsi="Calibri" w:cs="Calibri"/>
          <w:szCs w:val="22"/>
        </w:rPr>
      </w:pPr>
      <w:r w:rsidRPr="00B818CD">
        <w:rPr>
          <w:rFonts w:ascii="Calibri" w:eastAsia="Calibri" w:hAnsi="Calibri" w:cs="Calibri"/>
          <w:szCs w:val="22"/>
        </w:rPr>
        <w:t>Kontrolni inventar emisija CO</w:t>
      </w:r>
      <w:r w:rsidRPr="00B818CD">
        <w:rPr>
          <w:rFonts w:ascii="Calibri" w:eastAsia="Calibri" w:hAnsi="Calibri" w:cs="Calibri"/>
          <w:szCs w:val="22"/>
          <w:vertAlign w:val="subscript"/>
        </w:rPr>
        <w:t>2</w:t>
      </w:r>
      <w:r w:rsidRPr="00B818CD">
        <w:rPr>
          <w:rFonts w:ascii="Calibri" w:eastAsia="Calibri" w:hAnsi="Calibri" w:cs="Calibri"/>
          <w:szCs w:val="22"/>
        </w:rPr>
        <w:t xml:space="preserve"> iz sektora prometa podijeljen je na tri osnovna podsektora:</w:t>
      </w:r>
    </w:p>
    <w:p w14:paraId="2B5E17D9" w14:textId="54144D82" w:rsidR="00C83D0B" w:rsidRPr="00B818CD" w:rsidRDefault="003F719D" w:rsidP="00C83D0B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B818CD">
        <w:rPr>
          <w:rFonts w:ascii="Calibri" w:eastAsia="Calibri" w:hAnsi="Calibri" w:cs="Calibri"/>
        </w:rPr>
        <w:t>e</w:t>
      </w:r>
      <w:r w:rsidR="00C83D0B" w:rsidRPr="00B818CD">
        <w:rPr>
          <w:rFonts w:ascii="Calibri" w:eastAsia="Calibri" w:hAnsi="Calibri" w:cs="Calibri"/>
        </w:rPr>
        <w:t>misije CO</w:t>
      </w:r>
      <w:r w:rsidR="00C83D0B" w:rsidRPr="00B818CD">
        <w:rPr>
          <w:rFonts w:ascii="Calibri" w:eastAsia="Calibri" w:hAnsi="Calibri" w:cs="Calibri"/>
          <w:vertAlign w:val="subscript"/>
        </w:rPr>
        <w:t>2</w:t>
      </w:r>
      <w:r w:rsidR="00C83D0B" w:rsidRPr="00B818CD">
        <w:rPr>
          <w:rFonts w:ascii="Calibri" w:eastAsia="Calibri" w:hAnsi="Calibri" w:cs="Calibri"/>
        </w:rPr>
        <w:t xml:space="preserve"> vozila </w:t>
      </w:r>
      <w:r w:rsidR="00A811A5">
        <w:rPr>
          <w:rFonts w:ascii="Calibri" w:eastAsia="Calibri" w:hAnsi="Calibri" w:cs="Calibri"/>
        </w:rPr>
        <w:t>Gradske uprave i Gradskih ustanova/poduzeća</w:t>
      </w:r>
      <w:r w:rsidR="00C83D0B" w:rsidRPr="00B818CD">
        <w:rPr>
          <w:rFonts w:ascii="Calibri" w:eastAsia="Calibri" w:hAnsi="Calibri" w:cs="Calibri"/>
        </w:rPr>
        <w:t>;</w:t>
      </w:r>
    </w:p>
    <w:p w14:paraId="53C5A5E4" w14:textId="682A15DE" w:rsidR="00C83D0B" w:rsidRPr="00B818CD" w:rsidRDefault="003F719D" w:rsidP="00C83D0B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B818CD">
        <w:rPr>
          <w:rFonts w:ascii="Calibri" w:eastAsia="Calibri" w:hAnsi="Calibri" w:cs="Calibri"/>
        </w:rPr>
        <w:t>e</w:t>
      </w:r>
      <w:r w:rsidR="00C83D0B" w:rsidRPr="00B818CD">
        <w:rPr>
          <w:rFonts w:ascii="Calibri" w:eastAsia="Calibri" w:hAnsi="Calibri" w:cs="Calibri"/>
        </w:rPr>
        <w:t>misije CO</w:t>
      </w:r>
      <w:r w:rsidR="00C83D0B" w:rsidRPr="00B818CD">
        <w:rPr>
          <w:rFonts w:ascii="Calibri" w:eastAsia="Calibri" w:hAnsi="Calibri" w:cs="Calibri"/>
          <w:vertAlign w:val="subscript"/>
        </w:rPr>
        <w:t>2</w:t>
      </w:r>
      <w:r w:rsidR="00C83D0B" w:rsidRPr="00B818CD">
        <w:rPr>
          <w:rFonts w:ascii="Calibri" w:eastAsia="Calibri" w:hAnsi="Calibri" w:cs="Calibri"/>
        </w:rPr>
        <w:t xml:space="preserve"> </w:t>
      </w:r>
      <w:r w:rsidR="00A811A5">
        <w:rPr>
          <w:rFonts w:ascii="Calibri" w:eastAsia="Calibri" w:hAnsi="Calibri" w:cs="Calibri"/>
        </w:rPr>
        <w:t xml:space="preserve"> vozila </w:t>
      </w:r>
      <w:r w:rsidR="00C83D0B" w:rsidRPr="00B818CD">
        <w:rPr>
          <w:rFonts w:ascii="Calibri" w:eastAsia="Calibri" w:hAnsi="Calibri" w:cs="Calibri"/>
        </w:rPr>
        <w:t>javnog prijevoza</w:t>
      </w:r>
      <w:r w:rsidR="00A811A5">
        <w:rPr>
          <w:rFonts w:ascii="Calibri" w:eastAsia="Calibri" w:hAnsi="Calibri" w:cs="Calibri"/>
        </w:rPr>
        <w:t xml:space="preserve"> (gradski autobusni prijevoz i taksi prijevoz)</w:t>
      </w:r>
      <w:r w:rsidR="00C83D0B" w:rsidRPr="00B818CD">
        <w:rPr>
          <w:rFonts w:ascii="Calibri" w:eastAsia="Calibri" w:hAnsi="Calibri" w:cs="Calibri"/>
        </w:rPr>
        <w:t>;</w:t>
      </w:r>
    </w:p>
    <w:p w14:paraId="6079EF4C" w14:textId="3D99FC44" w:rsidR="00C83D0B" w:rsidRDefault="003F719D" w:rsidP="00C83D0B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B818CD">
        <w:rPr>
          <w:rFonts w:ascii="Calibri" w:eastAsia="Calibri" w:hAnsi="Calibri" w:cs="Calibri"/>
        </w:rPr>
        <w:t>e</w:t>
      </w:r>
      <w:r w:rsidR="00C83D0B" w:rsidRPr="00B818CD">
        <w:rPr>
          <w:rFonts w:ascii="Calibri" w:eastAsia="Calibri" w:hAnsi="Calibri" w:cs="Calibri"/>
        </w:rPr>
        <w:t>misije CO</w:t>
      </w:r>
      <w:r w:rsidR="00C83D0B" w:rsidRPr="00B818CD">
        <w:rPr>
          <w:rFonts w:ascii="Calibri" w:eastAsia="Calibri" w:hAnsi="Calibri" w:cs="Calibri"/>
          <w:vertAlign w:val="subscript"/>
        </w:rPr>
        <w:t>2</w:t>
      </w:r>
      <w:r w:rsidR="00C83D0B" w:rsidRPr="00B818CD">
        <w:rPr>
          <w:rFonts w:ascii="Calibri" w:eastAsia="Calibri" w:hAnsi="Calibri" w:cs="Calibri"/>
        </w:rPr>
        <w:t xml:space="preserve"> </w:t>
      </w:r>
      <w:r w:rsidR="00A811A5">
        <w:rPr>
          <w:rFonts w:ascii="Calibri" w:eastAsia="Calibri" w:hAnsi="Calibri" w:cs="Calibri"/>
        </w:rPr>
        <w:t>vozila gradskog cestovnog prometa</w:t>
      </w:r>
      <w:r w:rsidR="00C83D0B" w:rsidRPr="00B818CD">
        <w:rPr>
          <w:rFonts w:ascii="Calibri" w:eastAsia="Calibri" w:hAnsi="Calibri" w:cs="Calibri"/>
        </w:rPr>
        <w:t>.</w:t>
      </w:r>
    </w:p>
    <w:p w14:paraId="21FD9E9C" w14:textId="289725A0" w:rsidR="006B25A1" w:rsidRPr="00910B42" w:rsidRDefault="006B25A1" w:rsidP="00CC5D30">
      <w:pPr>
        <w:rPr>
          <w:rFonts w:ascii="Calibri" w:eastAsia="Calibri" w:hAnsi="Calibri" w:cs="Calibri"/>
        </w:rPr>
      </w:pPr>
      <w:r w:rsidRPr="00910B42">
        <w:rPr>
          <w:rFonts w:ascii="Calibri" w:eastAsia="Calibri" w:hAnsi="Calibri" w:cs="Calibri"/>
        </w:rPr>
        <w:t xml:space="preserve">U </w:t>
      </w:r>
      <w:r w:rsidR="00A811A5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ablici </w:t>
      </w:r>
      <w:r w:rsidR="00AE431B">
        <w:rPr>
          <w:rFonts w:ascii="Calibri" w:eastAsia="Calibri" w:hAnsi="Calibri" w:cs="Calibri"/>
        </w:rPr>
        <w:t>11</w:t>
      </w:r>
      <w:r w:rsidR="00A811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prikazana je </w:t>
      </w:r>
      <w:r w:rsidRPr="00910B42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otrošnja </w:t>
      </w:r>
      <w:r w:rsidR="00AE431B">
        <w:rPr>
          <w:rFonts w:ascii="Calibri" w:eastAsia="Calibri" w:hAnsi="Calibri" w:cs="Calibri"/>
        </w:rPr>
        <w:t xml:space="preserve">energije iz </w:t>
      </w:r>
      <w:r>
        <w:rPr>
          <w:rFonts w:ascii="Calibri" w:eastAsia="Calibri" w:hAnsi="Calibri" w:cs="Calibri"/>
        </w:rPr>
        <w:t xml:space="preserve">goriva sektora prometa na temelju koje je </w:t>
      </w:r>
      <w:r w:rsidR="00A811A5">
        <w:rPr>
          <w:rFonts w:ascii="Calibri" w:eastAsia="Calibri" w:hAnsi="Calibri" w:cs="Calibri"/>
        </w:rPr>
        <w:t xml:space="preserve">izračunata </w:t>
      </w:r>
      <w:r>
        <w:rPr>
          <w:rFonts w:ascii="Calibri" w:eastAsia="Calibri" w:hAnsi="Calibri" w:cs="Calibri"/>
        </w:rPr>
        <w:t>emisija CO</w:t>
      </w:r>
      <w:r w:rsidRPr="00910B42">
        <w:rPr>
          <w:rFonts w:ascii="Calibri" w:eastAsia="Calibri" w:hAnsi="Calibri" w:cs="Calibri"/>
          <w:vertAlign w:val="subscript"/>
        </w:rPr>
        <w:t>2</w:t>
      </w:r>
      <w:r>
        <w:rPr>
          <w:rFonts w:ascii="Calibri" w:eastAsia="Calibri" w:hAnsi="Calibri" w:cs="Calibri"/>
        </w:rPr>
        <w:t>.</w:t>
      </w:r>
    </w:p>
    <w:p w14:paraId="19BA998C" w14:textId="498B28B7" w:rsidR="006B25A1" w:rsidRDefault="006B25A1" w:rsidP="00535DE0">
      <w:pPr>
        <w:pStyle w:val="Opisslike"/>
      </w:pPr>
      <w:r>
        <w:t xml:space="preserve">Tablica </w:t>
      </w:r>
      <w:r w:rsidR="00AE431B">
        <w:t>11</w:t>
      </w:r>
      <w:r>
        <w:t>: Potrošnja energije sektora prometa Grada Zadra u 2017. godini</w:t>
      </w:r>
    </w:p>
    <w:tbl>
      <w:tblPr>
        <w:tblStyle w:val="GridTable4-Accent31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119"/>
        <w:gridCol w:w="1710"/>
        <w:gridCol w:w="1710"/>
        <w:gridCol w:w="1674"/>
      </w:tblGrid>
      <w:tr w:rsidR="006B25A1" w:rsidRPr="008B56AB" w14:paraId="00B11186" w14:textId="77777777" w:rsidTr="007A7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Merge w:val="restart"/>
          </w:tcPr>
          <w:p w14:paraId="26A14ACB" w14:textId="77777777" w:rsidR="006B25A1" w:rsidRPr="008B56AB" w:rsidRDefault="006B25A1" w:rsidP="007A7813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sz w:val="20"/>
                <w:lang w:val="hr-HR"/>
              </w:rPr>
              <w:t>Energent</w:t>
            </w:r>
          </w:p>
        </w:tc>
        <w:tc>
          <w:tcPr>
            <w:tcW w:w="7213" w:type="dxa"/>
            <w:gridSpan w:val="4"/>
          </w:tcPr>
          <w:p w14:paraId="14BF0F0D" w14:textId="77777777" w:rsidR="006B25A1" w:rsidRPr="008B56AB" w:rsidRDefault="006B25A1" w:rsidP="007A7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sz w:val="20"/>
                <w:lang w:val="hr-HR"/>
              </w:rPr>
              <w:t>Potrošnja energije</w:t>
            </w:r>
            <w:r w:rsidRPr="008B56AB">
              <w:rPr>
                <w:rFonts w:ascii="Calibri" w:hAnsi="Calibri" w:cs="Calibri"/>
                <w:sz w:val="20"/>
                <w:vertAlign w:val="subscript"/>
                <w:lang w:val="hr-HR"/>
              </w:rPr>
              <w:t xml:space="preserve"> </w:t>
            </w:r>
            <w:r w:rsidRPr="008B56AB">
              <w:rPr>
                <w:rFonts w:ascii="Calibri" w:hAnsi="Calibri" w:cs="Calibri"/>
                <w:sz w:val="20"/>
                <w:lang w:val="hr-HR"/>
              </w:rPr>
              <w:t>(MWh)</w:t>
            </w:r>
          </w:p>
        </w:tc>
      </w:tr>
      <w:tr w:rsidR="006B25A1" w:rsidRPr="008B56AB" w14:paraId="4F8A1585" w14:textId="77777777" w:rsidTr="007A7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Merge/>
          </w:tcPr>
          <w:p w14:paraId="23F9E875" w14:textId="77777777" w:rsidR="006B25A1" w:rsidRPr="008B56AB" w:rsidRDefault="006B25A1" w:rsidP="007A7813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119" w:type="dxa"/>
          </w:tcPr>
          <w:p w14:paraId="45579720" w14:textId="781EEC3F" w:rsidR="006B25A1" w:rsidRPr="008B56AB" w:rsidRDefault="006B25A1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b/>
                <w:sz w:val="20"/>
                <w:lang w:val="hr-HR"/>
              </w:rPr>
              <w:t xml:space="preserve">Vozila </w:t>
            </w:r>
            <w:r w:rsidR="00CE6C43">
              <w:rPr>
                <w:rFonts w:ascii="Calibri" w:hAnsi="Calibri" w:cs="Calibri"/>
                <w:b/>
                <w:sz w:val="20"/>
                <w:lang w:val="hr-HR"/>
              </w:rPr>
              <w:t>Gradske uprave i Gradskih ustanova/poduzeća</w:t>
            </w:r>
          </w:p>
        </w:tc>
        <w:tc>
          <w:tcPr>
            <w:tcW w:w="1710" w:type="dxa"/>
          </w:tcPr>
          <w:p w14:paraId="4C4D8050" w14:textId="77777777" w:rsidR="006B25A1" w:rsidRPr="008B56AB" w:rsidRDefault="006B25A1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b/>
                <w:sz w:val="20"/>
                <w:lang w:val="hr-HR"/>
              </w:rPr>
              <w:t>Javni prijevoz</w:t>
            </w:r>
          </w:p>
        </w:tc>
        <w:tc>
          <w:tcPr>
            <w:tcW w:w="1710" w:type="dxa"/>
          </w:tcPr>
          <w:p w14:paraId="54406729" w14:textId="58CAD81D" w:rsidR="006B25A1" w:rsidRPr="008B56AB" w:rsidRDefault="00CE6C43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>
              <w:rPr>
                <w:rFonts w:ascii="Calibri" w:hAnsi="Calibri" w:cs="Calibri"/>
                <w:b/>
                <w:sz w:val="20"/>
                <w:lang w:val="hr-HR"/>
              </w:rPr>
              <w:t>Gradski cestovni promet</w:t>
            </w:r>
          </w:p>
        </w:tc>
        <w:tc>
          <w:tcPr>
            <w:tcW w:w="1674" w:type="dxa"/>
          </w:tcPr>
          <w:p w14:paraId="45C27187" w14:textId="77777777" w:rsidR="006B25A1" w:rsidRPr="008B56AB" w:rsidRDefault="006B25A1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b/>
                <w:sz w:val="20"/>
                <w:lang w:val="hr-HR"/>
              </w:rPr>
              <w:t>Ukupno</w:t>
            </w:r>
          </w:p>
        </w:tc>
      </w:tr>
      <w:tr w:rsidR="008B56AB" w:rsidRPr="008B56AB" w14:paraId="09E21DD6" w14:textId="77777777" w:rsidTr="007A7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F68621C" w14:textId="15F91FB9" w:rsidR="008B56AB" w:rsidRPr="008B56AB" w:rsidRDefault="00CE6C43" w:rsidP="007A7813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B</w:t>
            </w:r>
            <w:r w:rsidR="008B56AB" w:rsidRPr="008B56AB">
              <w:rPr>
                <w:rFonts w:ascii="Calibri" w:hAnsi="Calibri" w:cs="Calibri"/>
                <w:sz w:val="20"/>
                <w:lang w:val="hr-HR"/>
              </w:rPr>
              <w:t>enzin</w:t>
            </w:r>
          </w:p>
        </w:tc>
        <w:tc>
          <w:tcPr>
            <w:tcW w:w="2119" w:type="dxa"/>
          </w:tcPr>
          <w:p w14:paraId="6288C15C" w14:textId="7AA5DA28" w:rsidR="008B56AB" w:rsidRPr="008B56AB" w:rsidRDefault="00393918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69</w:t>
            </w:r>
            <w:r w:rsidR="005C0123">
              <w:rPr>
                <w:rFonts w:ascii="Calibri" w:hAnsi="Calibri" w:cs="Calibri"/>
                <w:color w:val="000000"/>
                <w:sz w:val="20"/>
              </w:rPr>
              <w:t>1,67</w:t>
            </w:r>
          </w:p>
        </w:tc>
        <w:tc>
          <w:tcPr>
            <w:tcW w:w="1710" w:type="dxa"/>
          </w:tcPr>
          <w:p w14:paraId="336EC38F" w14:textId="3AC58341" w:rsidR="008B56AB" w:rsidRPr="008B56AB" w:rsidRDefault="0016677E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710" w:type="dxa"/>
          </w:tcPr>
          <w:p w14:paraId="3B511652" w14:textId="226AA651" w:rsidR="008B56AB" w:rsidRPr="008B56AB" w:rsidRDefault="008B56AB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color w:val="000000"/>
                <w:sz w:val="20"/>
              </w:rPr>
              <w:t>127</w:t>
            </w:r>
            <w:r w:rsidR="00B03116">
              <w:rPr>
                <w:rFonts w:ascii="Calibri" w:hAnsi="Calibri" w:cs="Calibri"/>
                <w:color w:val="000000"/>
                <w:sz w:val="20"/>
              </w:rPr>
              <w:t>.</w:t>
            </w:r>
            <w:r w:rsidR="00393918">
              <w:rPr>
                <w:rFonts w:ascii="Calibri" w:hAnsi="Calibri" w:cs="Calibri"/>
                <w:color w:val="000000"/>
                <w:sz w:val="20"/>
              </w:rPr>
              <w:t>194</w:t>
            </w:r>
            <w:r w:rsidR="005C0123">
              <w:rPr>
                <w:rFonts w:ascii="Calibri" w:hAnsi="Calibri" w:cs="Calibri"/>
                <w:color w:val="000000"/>
                <w:sz w:val="20"/>
              </w:rPr>
              <w:t>,46</w:t>
            </w:r>
          </w:p>
        </w:tc>
        <w:tc>
          <w:tcPr>
            <w:tcW w:w="1674" w:type="dxa"/>
          </w:tcPr>
          <w:p w14:paraId="30D22BAB" w14:textId="21544929" w:rsidR="008B56AB" w:rsidRPr="008B56AB" w:rsidRDefault="008B56AB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b/>
                <w:sz w:val="20"/>
                <w:lang w:val="hr-HR"/>
              </w:rPr>
              <w:t>127</w:t>
            </w:r>
            <w:r w:rsidR="00B03116">
              <w:rPr>
                <w:rFonts w:ascii="Calibri" w:hAnsi="Calibri" w:cs="Calibri"/>
                <w:b/>
                <w:sz w:val="20"/>
                <w:lang w:val="hr-HR"/>
              </w:rPr>
              <w:t>.</w:t>
            </w:r>
            <w:r w:rsidRPr="008B56AB">
              <w:rPr>
                <w:rFonts w:ascii="Calibri" w:hAnsi="Calibri" w:cs="Calibri"/>
                <w:b/>
                <w:sz w:val="20"/>
                <w:lang w:val="hr-HR"/>
              </w:rPr>
              <w:t>886</w:t>
            </w:r>
            <w:r w:rsidR="005C0123">
              <w:rPr>
                <w:rFonts w:ascii="Calibri" w:hAnsi="Calibri" w:cs="Calibri"/>
                <w:b/>
                <w:sz w:val="20"/>
                <w:lang w:val="hr-HR"/>
              </w:rPr>
              <w:t>,13</w:t>
            </w:r>
          </w:p>
        </w:tc>
      </w:tr>
      <w:tr w:rsidR="008B56AB" w:rsidRPr="008B56AB" w14:paraId="05888C35" w14:textId="77777777" w:rsidTr="007A7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29F3EA2" w14:textId="6ABCBA97" w:rsidR="008B56AB" w:rsidRPr="008B56AB" w:rsidRDefault="008B56AB" w:rsidP="007A7813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sz w:val="20"/>
                <w:lang w:val="hr-HR"/>
              </w:rPr>
              <w:t>Dizel</w:t>
            </w:r>
          </w:p>
        </w:tc>
        <w:tc>
          <w:tcPr>
            <w:tcW w:w="2119" w:type="dxa"/>
          </w:tcPr>
          <w:p w14:paraId="7232A6EA" w14:textId="441190D6" w:rsidR="008B56AB" w:rsidRPr="008B56AB" w:rsidRDefault="008B56AB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color w:val="000000"/>
                <w:sz w:val="20"/>
              </w:rPr>
              <w:t>2</w:t>
            </w:r>
            <w:r w:rsidR="00B03116">
              <w:rPr>
                <w:rFonts w:ascii="Calibri" w:hAnsi="Calibri" w:cs="Calibri"/>
                <w:color w:val="000000"/>
                <w:sz w:val="20"/>
              </w:rPr>
              <w:t>.</w:t>
            </w:r>
            <w:r w:rsidR="00393918">
              <w:rPr>
                <w:rFonts w:ascii="Calibri" w:hAnsi="Calibri" w:cs="Calibri"/>
                <w:color w:val="000000"/>
                <w:sz w:val="20"/>
              </w:rPr>
              <w:t>033</w:t>
            </w:r>
            <w:r w:rsidR="005C0123">
              <w:rPr>
                <w:rFonts w:ascii="Calibri" w:hAnsi="Calibri" w:cs="Calibri"/>
                <w:color w:val="000000"/>
                <w:sz w:val="20"/>
              </w:rPr>
              <w:t>,33</w:t>
            </w:r>
          </w:p>
        </w:tc>
        <w:tc>
          <w:tcPr>
            <w:tcW w:w="1710" w:type="dxa"/>
          </w:tcPr>
          <w:p w14:paraId="1C3A4596" w14:textId="2E2FF438" w:rsidR="008B56AB" w:rsidRPr="008B56AB" w:rsidRDefault="008B56AB" w:rsidP="007A78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color w:val="000000"/>
                <w:sz w:val="20"/>
              </w:rPr>
              <w:t>1</w:t>
            </w:r>
            <w:r w:rsidR="00B03116">
              <w:rPr>
                <w:rFonts w:ascii="Calibri" w:hAnsi="Calibri" w:cs="Calibri"/>
                <w:color w:val="000000"/>
                <w:sz w:val="20"/>
              </w:rPr>
              <w:t>5.600</w:t>
            </w:r>
          </w:p>
        </w:tc>
        <w:tc>
          <w:tcPr>
            <w:tcW w:w="1710" w:type="dxa"/>
          </w:tcPr>
          <w:p w14:paraId="028C5899" w14:textId="5BA2B7C3" w:rsidR="008B56AB" w:rsidRPr="008B56AB" w:rsidRDefault="008B56AB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color w:val="000000"/>
                <w:sz w:val="20"/>
              </w:rPr>
              <w:t>168</w:t>
            </w:r>
            <w:r w:rsidR="00B03116">
              <w:rPr>
                <w:rFonts w:ascii="Calibri" w:hAnsi="Calibri" w:cs="Calibri"/>
                <w:color w:val="000000"/>
                <w:sz w:val="20"/>
              </w:rPr>
              <w:t>.</w:t>
            </w:r>
            <w:r w:rsidR="00393918">
              <w:rPr>
                <w:rFonts w:ascii="Calibri" w:hAnsi="Calibri" w:cs="Calibri"/>
                <w:color w:val="000000"/>
                <w:sz w:val="20"/>
              </w:rPr>
              <w:t>594</w:t>
            </w:r>
            <w:r w:rsidR="005C0123">
              <w:rPr>
                <w:rFonts w:ascii="Calibri" w:hAnsi="Calibri" w:cs="Calibri"/>
                <w:color w:val="000000"/>
                <w:sz w:val="20"/>
              </w:rPr>
              <w:t>,46</w:t>
            </w:r>
          </w:p>
        </w:tc>
        <w:tc>
          <w:tcPr>
            <w:tcW w:w="1674" w:type="dxa"/>
          </w:tcPr>
          <w:p w14:paraId="5D2F9589" w14:textId="47AF1D07" w:rsidR="008B56AB" w:rsidRPr="008B56AB" w:rsidRDefault="008B56AB" w:rsidP="005C01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b/>
                <w:color w:val="000000"/>
                <w:sz w:val="20"/>
              </w:rPr>
              <w:t>186</w:t>
            </w:r>
            <w:r w:rsidR="00B03116">
              <w:rPr>
                <w:rFonts w:ascii="Calibri" w:hAnsi="Calibri" w:cs="Calibri"/>
                <w:b/>
                <w:color w:val="000000"/>
                <w:sz w:val="20"/>
              </w:rPr>
              <w:t>.</w:t>
            </w:r>
            <w:r w:rsidRPr="008B56AB">
              <w:rPr>
                <w:rFonts w:ascii="Calibri" w:hAnsi="Calibri" w:cs="Calibri"/>
                <w:b/>
                <w:color w:val="000000"/>
                <w:sz w:val="20"/>
              </w:rPr>
              <w:t>22</w:t>
            </w:r>
            <w:r w:rsidR="005C0123">
              <w:rPr>
                <w:rFonts w:ascii="Calibri" w:hAnsi="Calibri" w:cs="Calibri"/>
                <w:b/>
                <w:color w:val="000000"/>
                <w:sz w:val="20"/>
              </w:rPr>
              <w:t>7,79</w:t>
            </w:r>
          </w:p>
        </w:tc>
      </w:tr>
      <w:tr w:rsidR="006B25A1" w:rsidRPr="008B56AB" w14:paraId="285A9945" w14:textId="77777777" w:rsidTr="007A7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27772CB" w14:textId="661F5389" w:rsidR="006B25A1" w:rsidRPr="008B56AB" w:rsidRDefault="009554AB" w:rsidP="007A7813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UNP</w:t>
            </w:r>
            <w:r w:rsidR="00CE6C43">
              <w:rPr>
                <w:rFonts w:ascii="Calibri" w:hAnsi="Calibri" w:cs="Calibri"/>
                <w:sz w:val="20"/>
                <w:lang w:val="hr-HR"/>
              </w:rPr>
              <w:t xml:space="preserve"> </w:t>
            </w:r>
          </w:p>
        </w:tc>
        <w:tc>
          <w:tcPr>
            <w:tcW w:w="2119" w:type="dxa"/>
          </w:tcPr>
          <w:p w14:paraId="1B7BAFAA" w14:textId="4649398B" w:rsidR="006B25A1" w:rsidRPr="008B56AB" w:rsidRDefault="0016677E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710" w:type="dxa"/>
          </w:tcPr>
          <w:p w14:paraId="730EBF08" w14:textId="023156AD" w:rsidR="006B25A1" w:rsidRPr="008B56AB" w:rsidRDefault="0016677E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710" w:type="dxa"/>
          </w:tcPr>
          <w:p w14:paraId="17C3918A" w14:textId="3CF41272" w:rsidR="006B25A1" w:rsidRPr="008B56AB" w:rsidRDefault="008B56AB" w:rsidP="007A78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color w:val="000000"/>
                <w:sz w:val="20"/>
              </w:rPr>
              <w:t>3</w:t>
            </w:r>
            <w:r w:rsidR="00B03116">
              <w:rPr>
                <w:rFonts w:ascii="Calibri" w:hAnsi="Calibri" w:cs="Calibri"/>
                <w:color w:val="000000"/>
                <w:sz w:val="20"/>
              </w:rPr>
              <w:t>.</w:t>
            </w:r>
            <w:r w:rsidR="00393918">
              <w:rPr>
                <w:rFonts w:ascii="Calibri" w:hAnsi="Calibri" w:cs="Calibri"/>
                <w:color w:val="000000"/>
                <w:sz w:val="20"/>
              </w:rPr>
              <w:t>461</w:t>
            </w:r>
            <w:r w:rsidR="005C0123">
              <w:rPr>
                <w:rFonts w:ascii="Calibri" w:hAnsi="Calibri" w:cs="Calibri"/>
                <w:color w:val="000000"/>
                <w:sz w:val="20"/>
              </w:rPr>
              <w:t>,11</w:t>
            </w:r>
          </w:p>
        </w:tc>
        <w:tc>
          <w:tcPr>
            <w:tcW w:w="1674" w:type="dxa"/>
          </w:tcPr>
          <w:p w14:paraId="44B329E2" w14:textId="7845312F" w:rsidR="006B25A1" w:rsidRPr="008B56AB" w:rsidRDefault="008B56AB" w:rsidP="007A78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8B56AB"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  <w:r w:rsidR="00B03116">
              <w:rPr>
                <w:rFonts w:ascii="Calibri" w:hAnsi="Calibri" w:cs="Calibri"/>
                <w:b/>
                <w:color w:val="000000"/>
                <w:sz w:val="20"/>
              </w:rPr>
              <w:t>.</w:t>
            </w:r>
            <w:r w:rsidR="00393918">
              <w:rPr>
                <w:rFonts w:ascii="Calibri" w:hAnsi="Calibri" w:cs="Calibri"/>
                <w:b/>
                <w:color w:val="000000"/>
                <w:sz w:val="20"/>
              </w:rPr>
              <w:t>461</w:t>
            </w:r>
            <w:r w:rsidR="005C0123">
              <w:rPr>
                <w:rFonts w:ascii="Calibri" w:hAnsi="Calibri" w:cs="Calibri"/>
                <w:b/>
                <w:color w:val="000000"/>
                <w:sz w:val="20"/>
              </w:rPr>
              <w:t>,11</w:t>
            </w:r>
          </w:p>
        </w:tc>
      </w:tr>
      <w:tr w:rsidR="00BA3A44" w:rsidRPr="008B56AB" w14:paraId="5B01FCA4" w14:textId="77777777" w:rsidTr="007A7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E386BEA" w14:textId="7646033B" w:rsidR="00BA3A44" w:rsidRPr="008B56AB" w:rsidDel="00CE6C43" w:rsidRDefault="00BA3A44" w:rsidP="007A7813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Električna energija</w:t>
            </w:r>
          </w:p>
        </w:tc>
        <w:tc>
          <w:tcPr>
            <w:tcW w:w="2119" w:type="dxa"/>
          </w:tcPr>
          <w:p w14:paraId="7590A74D" w14:textId="39D6E1C5" w:rsidR="00BA3A44" w:rsidRPr="00B818CD" w:rsidRDefault="0016677E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710" w:type="dxa"/>
          </w:tcPr>
          <w:p w14:paraId="496F371F" w14:textId="03A021E2" w:rsidR="00BA3A44" w:rsidRPr="00B818CD" w:rsidRDefault="0016677E" w:rsidP="007A7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710" w:type="dxa"/>
          </w:tcPr>
          <w:p w14:paraId="4AA28DBB" w14:textId="76F6DE99" w:rsidR="00BA3A44" w:rsidRPr="008B56AB" w:rsidRDefault="00BA3A44" w:rsidP="007A78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0,022</w:t>
            </w:r>
          </w:p>
        </w:tc>
        <w:tc>
          <w:tcPr>
            <w:tcW w:w="1674" w:type="dxa"/>
          </w:tcPr>
          <w:p w14:paraId="5924273C" w14:textId="54CE4A6E" w:rsidR="00BA3A44" w:rsidRPr="008B56AB" w:rsidRDefault="00101A89" w:rsidP="007A78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0,022</w:t>
            </w:r>
          </w:p>
        </w:tc>
      </w:tr>
      <w:tr w:rsidR="006B25A1" w:rsidRPr="004C673F" w14:paraId="1E8B336E" w14:textId="77777777" w:rsidTr="007A7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FDD0699" w14:textId="77777777" w:rsidR="006B25A1" w:rsidRPr="00393918" w:rsidRDefault="006B25A1" w:rsidP="007A7813">
            <w:pPr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393918">
              <w:rPr>
                <w:rFonts w:ascii="Calibri" w:hAnsi="Calibri" w:cs="Calibri"/>
                <w:sz w:val="20"/>
                <w:lang w:val="hr-HR"/>
              </w:rPr>
              <w:t>Ukupno</w:t>
            </w:r>
          </w:p>
        </w:tc>
        <w:tc>
          <w:tcPr>
            <w:tcW w:w="2119" w:type="dxa"/>
          </w:tcPr>
          <w:p w14:paraId="4D52DE31" w14:textId="675DC6C4" w:rsidR="006B25A1" w:rsidRPr="00393918" w:rsidRDefault="008B56AB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393918">
              <w:rPr>
                <w:rFonts w:ascii="Calibri" w:hAnsi="Calibri" w:cs="Calibri"/>
                <w:b/>
                <w:sz w:val="20"/>
                <w:lang w:val="hr-HR"/>
              </w:rPr>
              <w:t>2</w:t>
            </w:r>
            <w:r w:rsidR="00A91D0F" w:rsidRPr="00393918">
              <w:rPr>
                <w:rFonts w:ascii="Calibri" w:hAnsi="Calibri" w:cs="Calibri"/>
                <w:b/>
                <w:sz w:val="20"/>
                <w:lang w:val="hr-HR"/>
              </w:rPr>
              <w:t>.</w:t>
            </w:r>
            <w:r w:rsidRPr="00393918">
              <w:rPr>
                <w:rFonts w:ascii="Calibri" w:hAnsi="Calibri" w:cs="Calibri"/>
                <w:b/>
                <w:sz w:val="20"/>
                <w:lang w:val="hr-HR"/>
              </w:rPr>
              <w:t>725</w:t>
            </w:r>
          </w:p>
        </w:tc>
        <w:tc>
          <w:tcPr>
            <w:tcW w:w="1710" w:type="dxa"/>
          </w:tcPr>
          <w:p w14:paraId="7F22E9FE" w14:textId="4CC23672" w:rsidR="006B25A1" w:rsidRPr="00393918" w:rsidRDefault="008B56AB" w:rsidP="007A78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393918"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  <w:r w:rsidR="00B03116" w:rsidRPr="00393918">
              <w:rPr>
                <w:rFonts w:ascii="Calibri" w:hAnsi="Calibri" w:cs="Calibri"/>
                <w:b/>
                <w:color w:val="000000"/>
                <w:sz w:val="20"/>
              </w:rPr>
              <w:t>5.600</w:t>
            </w:r>
          </w:p>
        </w:tc>
        <w:tc>
          <w:tcPr>
            <w:tcW w:w="1710" w:type="dxa"/>
          </w:tcPr>
          <w:p w14:paraId="7977C090" w14:textId="16572228" w:rsidR="006B25A1" w:rsidRPr="00393918" w:rsidRDefault="008B56AB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393918">
              <w:rPr>
                <w:rFonts w:ascii="Calibri" w:hAnsi="Calibri" w:cs="Calibri"/>
                <w:b/>
                <w:sz w:val="20"/>
                <w:lang w:val="hr-HR"/>
              </w:rPr>
              <w:t>299</w:t>
            </w:r>
            <w:r w:rsidR="00A91D0F" w:rsidRPr="00393918">
              <w:rPr>
                <w:rFonts w:ascii="Calibri" w:hAnsi="Calibri" w:cs="Calibri"/>
                <w:b/>
                <w:sz w:val="20"/>
                <w:lang w:val="hr-HR"/>
              </w:rPr>
              <w:t>.</w:t>
            </w:r>
            <w:r w:rsidRPr="00393918">
              <w:rPr>
                <w:rFonts w:ascii="Calibri" w:hAnsi="Calibri" w:cs="Calibri"/>
                <w:b/>
                <w:sz w:val="20"/>
                <w:lang w:val="hr-HR"/>
              </w:rPr>
              <w:t>2</w:t>
            </w:r>
            <w:r w:rsidR="00393918">
              <w:rPr>
                <w:rFonts w:ascii="Calibri" w:hAnsi="Calibri" w:cs="Calibri"/>
                <w:b/>
                <w:sz w:val="20"/>
                <w:lang w:val="hr-HR"/>
              </w:rPr>
              <w:t>50</w:t>
            </w:r>
            <w:r w:rsidR="005C0123">
              <w:rPr>
                <w:rFonts w:ascii="Calibri" w:hAnsi="Calibri" w:cs="Calibri"/>
                <w:b/>
                <w:sz w:val="20"/>
                <w:lang w:val="hr-HR"/>
              </w:rPr>
              <w:t>,05</w:t>
            </w:r>
          </w:p>
        </w:tc>
        <w:tc>
          <w:tcPr>
            <w:tcW w:w="1674" w:type="dxa"/>
          </w:tcPr>
          <w:p w14:paraId="022347EE" w14:textId="17184134" w:rsidR="006B25A1" w:rsidRPr="00393918" w:rsidRDefault="008B56AB" w:rsidP="007A7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393918">
              <w:rPr>
                <w:rFonts w:ascii="Calibri" w:hAnsi="Calibri" w:cs="Calibri"/>
                <w:b/>
                <w:sz w:val="20"/>
                <w:lang w:val="hr-HR"/>
              </w:rPr>
              <w:t>317</w:t>
            </w:r>
            <w:r w:rsidR="00B03116" w:rsidRPr="00393918">
              <w:rPr>
                <w:rFonts w:ascii="Calibri" w:hAnsi="Calibri" w:cs="Calibri"/>
                <w:b/>
                <w:sz w:val="20"/>
                <w:lang w:val="hr-HR"/>
              </w:rPr>
              <w:t>.</w:t>
            </w:r>
            <w:r w:rsidRPr="00393918">
              <w:rPr>
                <w:rFonts w:ascii="Calibri" w:hAnsi="Calibri" w:cs="Calibri"/>
                <w:b/>
                <w:sz w:val="20"/>
                <w:lang w:val="hr-HR"/>
              </w:rPr>
              <w:t>57</w:t>
            </w:r>
            <w:r w:rsidR="00393918">
              <w:rPr>
                <w:rFonts w:ascii="Calibri" w:hAnsi="Calibri" w:cs="Calibri"/>
                <w:b/>
                <w:sz w:val="20"/>
                <w:lang w:val="hr-HR"/>
              </w:rPr>
              <w:t>5</w:t>
            </w:r>
            <w:r w:rsidR="005C0123">
              <w:rPr>
                <w:rFonts w:ascii="Calibri" w:hAnsi="Calibri" w:cs="Calibri"/>
                <w:b/>
                <w:sz w:val="20"/>
                <w:lang w:val="hr-HR"/>
              </w:rPr>
              <w:t>,05</w:t>
            </w:r>
          </w:p>
        </w:tc>
      </w:tr>
    </w:tbl>
    <w:p w14:paraId="4EE29306" w14:textId="01B76D6C" w:rsidR="006B25A1" w:rsidRPr="004C673F" w:rsidRDefault="006B25A1" w:rsidP="006B25A1">
      <w:pPr>
        <w:spacing w:line="276" w:lineRule="auto"/>
        <w:rPr>
          <w:rFonts w:ascii="Calibri" w:eastAsia="Calibri" w:hAnsi="Calibri" w:cs="Calibri"/>
        </w:rPr>
      </w:pPr>
    </w:p>
    <w:p w14:paraId="40DE1DC9" w14:textId="23F96FFC" w:rsidR="00C83D0B" w:rsidRPr="00B818CD" w:rsidRDefault="00C83D0B" w:rsidP="00C83D0B">
      <w:pPr>
        <w:rPr>
          <w:rFonts w:ascii="Calibri" w:eastAsia="Calibri" w:hAnsi="Calibri" w:cs="Calibri"/>
          <w:szCs w:val="22"/>
        </w:rPr>
      </w:pPr>
      <w:r w:rsidRPr="00B818CD">
        <w:rPr>
          <w:rFonts w:ascii="Calibri" w:eastAsia="Calibri" w:hAnsi="Calibri" w:cs="Calibri"/>
          <w:szCs w:val="22"/>
        </w:rPr>
        <w:t>U</w:t>
      </w:r>
      <w:r w:rsidR="00CE6C43">
        <w:rPr>
          <w:rFonts w:ascii="Calibri" w:eastAsia="Calibri" w:hAnsi="Calibri" w:cs="Calibri"/>
          <w:szCs w:val="22"/>
        </w:rPr>
        <w:t>kupna</w:t>
      </w:r>
      <w:r w:rsidRPr="00B818CD">
        <w:rPr>
          <w:rFonts w:ascii="Calibri" w:eastAsia="Calibri" w:hAnsi="Calibri" w:cs="Calibri"/>
          <w:szCs w:val="22"/>
        </w:rPr>
        <w:t xml:space="preserve"> emisija CO</w:t>
      </w:r>
      <w:r w:rsidRPr="00B818CD">
        <w:rPr>
          <w:rFonts w:ascii="Calibri" w:eastAsia="Calibri" w:hAnsi="Calibri" w:cs="Calibri"/>
          <w:szCs w:val="22"/>
          <w:vertAlign w:val="subscript"/>
        </w:rPr>
        <w:t>2</w:t>
      </w:r>
      <w:r w:rsidRPr="00B818CD">
        <w:rPr>
          <w:rFonts w:ascii="Calibri" w:eastAsia="Calibri" w:hAnsi="Calibri" w:cs="Calibri"/>
          <w:szCs w:val="22"/>
        </w:rPr>
        <w:t xml:space="preserve"> </w:t>
      </w:r>
      <w:r w:rsidR="00CE6C43">
        <w:rPr>
          <w:rFonts w:ascii="Calibri" w:eastAsia="Calibri" w:hAnsi="Calibri" w:cs="Calibri"/>
          <w:szCs w:val="22"/>
        </w:rPr>
        <w:t>iz sektora prometa prema podsektorima</w:t>
      </w:r>
      <w:r w:rsidRPr="00B818CD">
        <w:rPr>
          <w:rFonts w:ascii="Calibri" w:eastAsia="Calibri" w:hAnsi="Calibri" w:cs="Calibri"/>
          <w:szCs w:val="22"/>
        </w:rPr>
        <w:t xml:space="preserve"> dana je u </w:t>
      </w:r>
      <w:r w:rsidR="00D62265">
        <w:rPr>
          <w:rFonts w:ascii="Calibri" w:eastAsia="Calibri" w:hAnsi="Calibri" w:cs="Calibri"/>
          <w:szCs w:val="22"/>
        </w:rPr>
        <w:t>T</w:t>
      </w:r>
      <w:r w:rsidRPr="00B818CD">
        <w:rPr>
          <w:rFonts w:ascii="Calibri" w:eastAsia="Calibri" w:hAnsi="Calibri" w:cs="Calibri"/>
          <w:szCs w:val="22"/>
        </w:rPr>
        <w:t xml:space="preserve">ablici </w:t>
      </w:r>
      <w:r w:rsidR="00CE6C43">
        <w:rPr>
          <w:rFonts w:ascii="Calibri" w:eastAsia="Calibri" w:hAnsi="Calibri" w:cs="Calibri"/>
          <w:szCs w:val="22"/>
        </w:rPr>
        <w:t>1</w:t>
      </w:r>
      <w:r w:rsidR="00AE431B">
        <w:rPr>
          <w:rFonts w:ascii="Calibri" w:eastAsia="Calibri" w:hAnsi="Calibri" w:cs="Calibri"/>
          <w:szCs w:val="22"/>
        </w:rPr>
        <w:t>2</w:t>
      </w:r>
      <w:r w:rsidRPr="00B818CD">
        <w:rPr>
          <w:rFonts w:ascii="Calibri" w:eastAsia="Calibri" w:hAnsi="Calibri" w:cs="Calibri"/>
          <w:szCs w:val="22"/>
        </w:rPr>
        <w:t>.</w:t>
      </w:r>
    </w:p>
    <w:p w14:paraId="2429866E" w14:textId="6CDEFB1D" w:rsidR="00C83D0B" w:rsidRPr="00B818CD" w:rsidRDefault="00C83D0B" w:rsidP="00535DE0">
      <w:pPr>
        <w:pStyle w:val="Opisslike"/>
      </w:pPr>
      <w:r w:rsidRPr="00B818CD">
        <w:t xml:space="preserve">Tablica </w:t>
      </w:r>
      <w:r w:rsidR="00CE6C43">
        <w:t>1</w:t>
      </w:r>
      <w:r w:rsidR="00AE431B">
        <w:t>2</w:t>
      </w:r>
      <w:r w:rsidR="00B9440B" w:rsidRPr="00B818CD">
        <w:t>:</w:t>
      </w:r>
      <w:r w:rsidRPr="00B818CD">
        <w:t xml:space="preserve"> Ukupna emisi</w:t>
      </w:r>
      <w:r w:rsidR="00B9440B" w:rsidRPr="00B818CD">
        <w:t>j</w:t>
      </w:r>
      <w:r w:rsidRPr="00B818CD">
        <w:t>a CO</w:t>
      </w:r>
      <w:r w:rsidRPr="00B818CD">
        <w:rPr>
          <w:vertAlign w:val="subscript"/>
        </w:rPr>
        <w:t>2</w:t>
      </w:r>
      <w:r w:rsidRPr="00B818CD">
        <w:t xml:space="preserve"> iz sektora prometa</w:t>
      </w:r>
    </w:p>
    <w:tbl>
      <w:tblPr>
        <w:tblStyle w:val="GridTable4-Accent31"/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1976"/>
        <w:gridCol w:w="1773"/>
        <w:gridCol w:w="1951"/>
        <w:gridCol w:w="1863"/>
      </w:tblGrid>
      <w:tr w:rsidR="00C83D0B" w:rsidRPr="004C673F" w14:paraId="19F3C145" w14:textId="77777777" w:rsidTr="00346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816FEB4" w14:textId="77777777" w:rsidR="00C83D0B" w:rsidRPr="004C673F" w:rsidRDefault="00C83D0B" w:rsidP="00FC33F7">
            <w:pPr>
              <w:jc w:val="center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Energent</w:t>
            </w:r>
          </w:p>
        </w:tc>
        <w:tc>
          <w:tcPr>
            <w:tcW w:w="7650" w:type="dxa"/>
            <w:gridSpan w:val="4"/>
            <w:vAlign w:val="center"/>
          </w:tcPr>
          <w:p w14:paraId="553629F0" w14:textId="77777777" w:rsidR="00C83D0B" w:rsidRPr="004C673F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Emisija CO</w:t>
            </w:r>
            <w:r w:rsidRPr="004C673F">
              <w:rPr>
                <w:rFonts w:ascii="Calibri" w:hAnsi="Calibri" w:cs="Calibri"/>
                <w:sz w:val="20"/>
                <w:vertAlign w:val="subscript"/>
              </w:rPr>
              <w:t xml:space="preserve">2 </w:t>
            </w:r>
            <w:r w:rsidRPr="004C673F">
              <w:rPr>
                <w:rFonts w:ascii="Calibri" w:hAnsi="Calibri" w:cs="Calibri"/>
                <w:sz w:val="20"/>
              </w:rPr>
              <w:t>(tCO</w:t>
            </w:r>
            <w:r w:rsidRPr="004C673F">
              <w:rPr>
                <w:rFonts w:ascii="Calibri" w:hAnsi="Calibri" w:cs="Calibri"/>
                <w:sz w:val="20"/>
                <w:vertAlign w:val="subscript"/>
              </w:rPr>
              <w:t>2</w:t>
            </w:r>
            <w:r w:rsidRPr="004C673F">
              <w:rPr>
                <w:rFonts w:ascii="Calibri" w:hAnsi="Calibri" w:cs="Calibri"/>
                <w:sz w:val="20"/>
              </w:rPr>
              <w:t>)</w:t>
            </w:r>
          </w:p>
        </w:tc>
      </w:tr>
      <w:tr w:rsidR="00346167" w:rsidRPr="004C673F" w14:paraId="7C511618" w14:textId="77777777" w:rsidTr="00ED1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74A28D1" w14:textId="77777777" w:rsidR="00C83D0B" w:rsidRPr="004C673F" w:rsidRDefault="00C83D0B" w:rsidP="00FC33F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330CAEF8" w14:textId="5E5E0BC5" w:rsidR="00C83D0B" w:rsidRPr="004C673F" w:rsidRDefault="00C83D0B" w:rsidP="00A91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 xml:space="preserve">Vozila </w:t>
            </w:r>
            <w:r w:rsidR="00A91D0F">
              <w:rPr>
                <w:rFonts w:ascii="Calibri" w:hAnsi="Calibri" w:cs="Calibri"/>
                <w:b/>
                <w:sz w:val="20"/>
              </w:rPr>
              <w:t>Gradske uprave i Gradskih ustanova/poduzeća</w:t>
            </w:r>
          </w:p>
        </w:tc>
        <w:tc>
          <w:tcPr>
            <w:tcW w:w="1800" w:type="dxa"/>
            <w:vAlign w:val="center"/>
          </w:tcPr>
          <w:p w14:paraId="08A14028" w14:textId="77777777" w:rsidR="00C83D0B" w:rsidRPr="004C673F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Javni prijevoz</w:t>
            </w:r>
          </w:p>
        </w:tc>
        <w:tc>
          <w:tcPr>
            <w:tcW w:w="1980" w:type="dxa"/>
            <w:vAlign w:val="center"/>
          </w:tcPr>
          <w:p w14:paraId="2D26ECC3" w14:textId="5F427DD7" w:rsidR="00C83D0B" w:rsidRPr="004C673F" w:rsidRDefault="00A91D0F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Gradski cestovni promet</w:t>
            </w:r>
          </w:p>
        </w:tc>
        <w:tc>
          <w:tcPr>
            <w:tcW w:w="1890" w:type="dxa"/>
            <w:vAlign w:val="center"/>
          </w:tcPr>
          <w:p w14:paraId="4955D173" w14:textId="28A0DC34" w:rsidR="00C83D0B" w:rsidRPr="004C673F" w:rsidRDefault="00B818CD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UKUPNO</w:t>
            </w:r>
          </w:p>
        </w:tc>
      </w:tr>
      <w:tr w:rsidR="00346167" w:rsidRPr="004C673F" w14:paraId="744A6071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C99772" w14:textId="0B2CC03B" w:rsidR="00C83D0B" w:rsidRPr="004C673F" w:rsidRDefault="00A91D0F" w:rsidP="00A91D0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Benzin</w:t>
            </w:r>
          </w:p>
        </w:tc>
        <w:tc>
          <w:tcPr>
            <w:tcW w:w="1980" w:type="dxa"/>
            <w:vAlign w:val="center"/>
          </w:tcPr>
          <w:p w14:paraId="49C3CCA7" w14:textId="0076F449" w:rsidR="00C83D0B" w:rsidRPr="004C673F" w:rsidRDefault="00B818CD" w:rsidP="0090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172</w:t>
            </w:r>
            <w:r w:rsidR="005C0123">
              <w:rPr>
                <w:rFonts w:ascii="Calibri" w:hAnsi="Calibri" w:cs="Calibri"/>
                <w:sz w:val="20"/>
              </w:rPr>
              <w:t>,23</w:t>
            </w:r>
          </w:p>
        </w:tc>
        <w:tc>
          <w:tcPr>
            <w:tcW w:w="1800" w:type="dxa"/>
            <w:vAlign w:val="center"/>
          </w:tcPr>
          <w:p w14:paraId="778EED25" w14:textId="31408104" w:rsidR="00C83D0B" w:rsidRPr="004C673F" w:rsidRDefault="0016677E" w:rsidP="00FC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1980" w:type="dxa"/>
            <w:vAlign w:val="center"/>
          </w:tcPr>
          <w:p w14:paraId="412C9369" w14:textId="36019CBB" w:rsidR="00C83D0B" w:rsidRPr="004C673F" w:rsidRDefault="00A24A17" w:rsidP="0090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31</w:t>
            </w:r>
            <w:r w:rsidR="00C83D0B" w:rsidRPr="004C673F">
              <w:rPr>
                <w:rFonts w:ascii="Calibri" w:hAnsi="Calibri" w:cs="Calibri"/>
                <w:sz w:val="20"/>
              </w:rPr>
              <w:t>.</w:t>
            </w:r>
            <w:r w:rsidR="00D41158">
              <w:rPr>
                <w:rFonts w:ascii="Calibri" w:hAnsi="Calibri" w:cs="Calibri"/>
                <w:sz w:val="20"/>
              </w:rPr>
              <w:t>671</w:t>
            </w:r>
            <w:r w:rsidR="005C0123">
              <w:rPr>
                <w:rFonts w:ascii="Calibri" w:hAnsi="Calibri" w:cs="Calibri"/>
                <w:sz w:val="20"/>
              </w:rPr>
              <w:t>,42</w:t>
            </w:r>
          </w:p>
        </w:tc>
        <w:tc>
          <w:tcPr>
            <w:tcW w:w="1890" w:type="dxa"/>
            <w:vAlign w:val="center"/>
          </w:tcPr>
          <w:p w14:paraId="661FFD6E" w14:textId="41547B86" w:rsidR="00C83D0B" w:rsidRPr="004C673F" w:rsidRDefault="00A24A17" w:rsidP="005C0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31</w:t>
            </w:r>
            <w:r w:rsidR="00C83D0B" w:rsidRPr="004C673F">
              <w:rPr>
                <w:rFonts w:ascii="Calibri" w:hAnsi="Calibri" w:cs="Calibri"/>
                <w:b/>
                <w:sz w:val="20"/>
              </w:rPr>
              <w:t>.</w:t>
            </w:r>
            <w:r w:rsidR="00D41158">
              <w:rPr>
                <w:rFonts w:ascii="Calibri" w:hAnsi="Calibri" w:cs="Calibri"/>
                <w:b/>
                <w:sz w:val="20"/>
              </w:rPr>
              <w:t>84</w:t>
            </w:r>
            <w:r w:rsidR="005C0123">
              <w:rPr>
                <w:rFonts w:ascii="Calibri" w:hAnsi="Calibri" w:cs="Calibri"/>
                <w:b/>
                <w:sz w:val="20"/>
              </w:rPr>
              <w:t>3,65</w:t>
            </w:r>
          </w:p>
        </w:tc>
      </w:tr>
      <w:tr w:rsidR="00346167" w:rsidRPr="004C673F" w14:paraId="3CA096FC" w14:textId="77777777" w:rsidTr="00ED1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462B613" w14:textId="77777777" w:rsidR="00C83D0B" w:rsidRPr="004C673F" w:rsidRDefault="00C83D0B" w:rsidP="00FC33F7">
            <w:pPr>
              <w:jc w:val="center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Dizel</w:t>
            </w:r>
          </w:p>
        </w:tc>
        <w:tc>
          <w:tcPr>
            <w:tcW w:w="1980" w:type="dxa"/>
            <w:vAlign w:val="center"/>
          </w:tcPr>
          <w:p w14:paraId="39EFEDD0" w14:textId="6113A469" w:rsidR="00C83D0B" w:rsidRPr="004C673F" w:rsidRDefault="00D41158" w:rsidP="005C0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54</w:t>
            </w:r>
            <w:r w:rsidR="005C0123">
              <w:rPr>
                <w:rFonts w:ascii="Calibri" w:hAnsi="Calibri" w:cs="Calibri"/>
                <w:sz w:val="20"/>
              </w:rPr>
              <w:t>2,90</w:t>
            </w:r>
          </w:p>
        </w:tc>
        <w:tc>
          <w:tcPr>
            <w:tcW w:w="1800" w:type="dxa"/>
            <w:vAlign w:val="center"/>
          </w:tcPr>
          <w:p w14:paraId="44832884" w14:textId="1882489D" w:rsidR="00C83D0B" w:rsidRPr="004C673F" w:rsidRDefault="00B818CD" w:rsidP="00901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4</w:t>
            </w:r>
            <w:r w:rsidR="00C83D0B" w:rsidRPr="004C673F">
              <w:rPr>
                <w:rFonts w:ascii="Calibri" w:hAnsi="Calibri" w:cs="Calibri"/>
                <w:sz w:val="20"/>
              </w:rPr>
              <w:t>.</w:t>
            </w:r>
            <w:r w:rsidRPr="004C673F">
              <w:rPr>
                <w:rFonts w:ascii="Calibri" w:hAnsi="Calibri" w:cs="Calibri"/>
                <w:sz w:val="20"/>
              </w:rPr>
              <w:t>16</w:t>
            </w:r>
            <w:r w:rsidR="00D41158">
              <w:rPr>
                <w:rFonts w:ascii="Calibri" w:hAnsi="Calibri" w:cs="Calibri"/>
                <w:sz w:val="20"/>
              </w:rPr>
              <w:t>5</w:t>
            </w:r>
            <w:r w:rsidR="005C0123">
              <w:rPr>
                <w:rFonts w:ascii="Calibri" w:hAnsi="Calibri" w:cs="Calibri"/>
                <w:sz w:val="20"/>
              </w:rPr>
              <w:t>,20</w:t>
            </w:r>
          </w:p>
        </w:tc>
        <w:tc>
          <w:tcPr>
            <w:tcW w:w="1980" w:type="dxa"/>
            <w:vAlign w:val="center"/>
          </w:tcPr>
          <w:p w14:paraId="76B635A1" w14:textId="49973D17" w:rsidR="00C83D0B" w:rsidRPr="004C673F" w:rsidRDefault="00A24A17" w:rsidP="005C0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t>4</w:t>
            </w:r>
            <w:r w:rsidR="00D41158">
              <w:rPr>
                <w:rFonts w:ascii="Calibri" w:hAnsi="Calibri" w:cs="Calibri"/>
                <w:sz w:val="20"/>
              </w:rPr>
              <w:t>5.01</w:t>
            </w:r>
            <w:r w:rsidR="005C0123">
              <w:rPr>
                <w:rFonts w:ascii="Calibri" w:hAnsi="Calibri" w:cs="Calibri"/>
                <w:sz w:val="20"/>
              </w:rPr>
              <w:t>4,72</w:t>
            </w:r>
          </w:p>
        </w:tc>
        <w:tc>
          <w:tcPr>
            <w:tcW w:w="1890" w:type="dxa"/>
            <w:vAlign w:val="center"/>
          </w:tcPr>
          <w:p w14:paraId="47344DFC" w14:textId="4A0F793E" w:rsidR="00C83D0B" w:rsidRPr="004C673F" w:rsidRDefault="00A24A17" w:rsidP="005C0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49</w:t>
            </w:r>
            <w:r w:rsidR="00C83D0B" w:rsidRPr="004C673F">
              <w:rPr>
                <w:rFonts w:ascii="Calibri" w:hAnsi="Calibri" w:cs="Calibri"/>
                <w:b/>
                <w:sz w:val="20"/>
              </w:rPr>
              <w:t>.</w:t>
            </w:r>
            <w:r w:rsidR="00D41158">
              <w:rPr>
                <w:rFonts w:ascii="Calibri" w:hAnsi="Calibri" w:cs="Calibri"/>
                <w:b/>
                <w:sz w:val="20"/>
              </w:rPr>
              <w:t>72</w:t>
            </w:r>
            <w:r w:rsidR="005C0123">
              <w:rPr>
                <w:rFonts w:ascii="Calibri" w:hAnsi="Calibri" w:cs="Calibri"/>
                <w:b/>
                <w:sz w:val="20"/>
              </w:rPr>
              <w:t>2,82</w:t>
            </w:r>
          </w:p>
        </w:tc>
      </w:tr>
      <w:tr w:rsidR="00346167" w:rsidRPr="004C673F" w14:paraId="73137959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CD2499" w14:textId="583A915B" w:rsidR="00C83D0B" w:rsidRPr="004C673F" w:rsidRDefault="009554AB" w:rsidP="00FC33F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UNP</w:t>
            </w:r>
          </w:p>
        </w:tc>
        <w:tc>
          <w:tcPr>
            <w:tcW w:w="1980" w:type="dxa"/>
            <w:vAlign w:val="center"/>
          </w:tcPr>
          <w:p w14:paraId="140206BC" w14:textId="12A24CD9" w:rsidR="00C83D0B" w:rsidRPr="004C673F" w:rsidRDefault="0016677E" w:rsidP="00FC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1800" w:type="dxa"/>
            <w:vAlign w:val="center"/>
          </w:tcPr>
          <w:p w14:paraId="2CC9053B" w14:textId="776AE4DD" w:rsidR="00C83D0B" w:rsidRPr="004C673F" w:rsidRDefault="0016677E" w:rsidP="00FC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1980" w:type="dxa"/>
            <w:vAlign w:val="center"/>
          </w:tcPr>
          <w:p w14:paraId="36DA8558" w14:textId="4EAB09DA" w:rsidR="00C83D0B" w:rsidRPr="004C673F" w:rsidRDefault="00D41158" w:rsidP="005C0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78</w:t>
            </w:r>
            <w:r w:rsidR="005C0123">
              <w:rPr>
                <w:rFonts w:ascii="Calibri" w:hAnsi="Calibri" w:cs="Calibri"/>
                <w:sz w:val="20"/>
              </w:rPr>
              <w:t>5,67</w:t>
            </w:r>
          </w:p>
        </w:tc>
        <w:tc>
          <w:tcPr>
            <w:tcW w:w="1890" w:type="dxa"/>
            <w:vAlign w:val="center"/>
          </w:tcPr>
          <w:p w14:paraId="783A63CC" w14:textId="12A5D13B" w:rsidR="00C83D0B" w:rsidRPr="004C673F" w:rsidRDefault="00A24A17" w:rsidP="005C0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7</w:t>
            </w:r>
            <w:r w:rsidR="00D41158">
              <w:rPr>
                <w:rFonts w:ascii="Calibri" w:hAnsi="Calibri" w:cs="Calibri"/>
                <w:b/>
                <w:sz w:val="20"/>
              </w:rPr>
              <w:t>8</w:t>
            </w:r>
            <w:r w:rsidR="005C0123">
              <w:rPr>
                <w:rFonts w:ascii="Calibri" w:hAnsi="Calibri" w:cs="Calibri"/>
                <w:b/>
                <w:sz w:val="20"/>
              </w:rPr>
              <w:t>5,67</w:t>
            </w:r>
          </w:p>
        </w:tc>
      </w:tr>
      <w:tr w:rsidR="00901D1A" w:rsidRPr="004C673F" w14:paraId="3C14013E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240DF01" w14:textId="66806B8E" w:rsidR="00901D1A" w:rsidRPr="004C673F" w:rsidDel="00A91D0F" w:rsidRDefault="00901D1A" w:rsidP="00FC33F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Električna energija</w:t>
            </w:r>
          </w:p>
        </w:tc>
        <w:tc>
          <w:tcPr>
            <w:tcW w:w="1980" w:type="dxa"/>
            <w:vAlign w:val="center"/>
          </w:tcPr>
          <w:p w14:paraId="5DB7DFB0" w14:textId="5D2286B1" w:rsidR="00901D1A" w:rsidRPr="004C673F" w:rsidRDefault="0016677E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1800" w:type="dxa"/>
            <w:vAlign w:val="center"/>
          </w:tcPr>
          <w:p w14:paraId="720D47DD" w14:textId="7E1B597B" w:rsidR="00901D1A" w:rsidRPr="004C673F" w:rsidRDefault="0016677E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1980" w:type="dxa"/>
            <w:vAlign w:val="center"/>
          </w:tcPr>
          <w:p w14:paraId="028ADCD4" w14:textId="67AB2417" w:rsidR="00901D1A" w:rsidRPr="004C673F" w:rsidRDefault="00901D1A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0,01</w:t>
            </w:r>
          </w:p>
        </w:tc>
        <w:tc>
          <w:tcPr>
            <w:tcW w:w="1890" w:type="dxa"/>
            <w:vAlign w:val="center"/>
          </w:tcPr>
          <w:p w14:paraId="24466817" w14:textId="2B9469B6" w:rsidR="00901D1A" w:rsidRPr="004C673F" w:rsidRDefault="00901D1A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0,01</w:t>
            </w:r>
          </w:p>
        </w:tc>
      </w:tr>
      <w:tr w:rsidR="00346167" w:rsidRPr="004C673F" w14:paraId="3260AEF4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46F0391" w14:textId="12FE06D6" w:rsidR="00C83D0B" w:rsidRPr="004C673F" w:rsidRDefault="00B818CD" w:rsidP="00FC33F7">
            <w:pPr>
              <w:jc w:val="center"/>
              <w:rPr>
                <w:rFonts w:ascii="Calibri" w:hAnsi="Calibri" w:cs="Calibri"/>
                <w:sz w:val="20"/>
              </w:rPr>
            </w:pPr>
            <w:r w:rsidRPr="004C673F">
              <w:rPr>
                <w:rFonts w:ascii="Calibri" w:hAnsi="Calibri" w:cs="Calibri"/>
                <w:sz w:val="20"/>
              </w:rPr>
              <w:lastRenderedPageBreak/>
              <w:t>UKUPNO</w:t>
            </w:r>
          </w:p>
        </w:tc>
        <w:tc>
          <w:tcPr>
            <w:tcW w:w="1980" w:type="dxa"/>
            <w:vAlign w:val="center"/>
          </w:tcPr>
          <w:p w14:paraId="01E886CE" w14:textId="17E00F8B" w:rsidR="00C83D0B" w:rsidRPr="004C673F" w:rsidRDefault="00B818CD" w:rsidP="0090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71</w:t>
            </w:r>
            <w:r w:rsidR="00D41158">
              <w:rPr>
                <w:rFonts w:ascii="Calibri" w:hAnsi="Calibri" w:cs="Calibri"/>
                <w:b/>
                <w:sz w:val="20"/>
              </w:rPr>
              <w:t>5</w:t>
            </w:r>
            <w:r w:rsidR="005C0123">
              <w:rPr>
                <w:rFonts w:ascii="Calibri" w:hAnsi="Calibri" w:cs="Calibri"/>
                <w:b/>
                <w:sz w:val="20"/>
              </w:rPr>
              <w:t>,13</w:t>
            </w:r>
          </w:p>
        </w:tc>
        <w:tc>
          <w:tcPr>
            <w:tcW w:w="1800" w:type="dxa"/>
            <w:vAlign w:val="center"/>
          </w:tcPr>
          <w:p w14:paraId="508837FE" w14:textId="2F875CB3" w:rsidR="00C83D0B" w:rsidRPr="004C673F" w:rsidRDefault="00A24A17" w:rsidP="0090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4</w:t>
            </w:r>
            <w:r w:rsidR="00C83D0B" w:rsidRPr="004C673F">
              <w:rPr>
                <w:rFonts w:ascii="Calibri" w:hAnsi="Calibri" w:cs="Calibri"/>
                <w:b/>
                <w:sz w:val="20"/>
              </w:rPr>
              <w:t>.</w:t>
            </w:r>
            <w:r w:rsidRPr="004C673F">
              <w:rPr>
                <w:rFonts w:ascii="Calibri" w:hAnsi="Calibri" w:cs="Calibri"/>
                <w:b/>
                <w:sz w:val="20"/>
              </w:rPr>
              <w:t>16</w:t>
            </w:r>
            <w:r w:rsidR="00D41158">
              <w:rPr>
                <w:rFonts w:ascii="Calibri" w:hAnsi="Calibri" w:cs="Calibri"/>
                <w:b/>
                <w:sz w:val="20"/>
              </w:rPr>
              <w:t>5</w:t>
            </w:r>
            <w:r w:rsidR="005C0123">
              <w:rPr>
                <w:rFonts w:ascii="Calibri" w:hAnsi="Calibri" w:cs="Calibri"/>
                <w:b/>
                <w:sz w:val="20"/>
              </w:rPr>
              <w:t>,20</w:t>
            </w:r>
          </w:p>
        </w:tc>
        <w:tc>
          <w:tcPr>
            <w:tcW w:w="1980" w:type="dxa"/>
            <w:vAlign w:val="center"/>
          </w:tcPr>
          <w:p w14:paraId="14D8FD18" w14:textId="3054FA2E" w:rsidR="00C83D0B" w:rsidRPr="004C673F" w:rsidRDefault="00A24A17" w:rsidP="005C0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77</w:t>
            </w:r>
            <w:r w:rsidR="00C83D0B" w:rsidRPr="004C673F">
              <w:rPr>
                <w:rFonts w:ascii="Calibri" w:hAnsi="Calibri" w:cs="Calibri"/>
                <w:b/>
                <w:sz w:val="20"/>
              </w:rPr>
              <w:t>.</w:t>
            </w:r>
            <w:r w:rsidR="00D41158">
              <w:rPr>
                <w:rFonts w:ascii="Calibri" w:hAnsi="Calibri" w:cs="Calibri"/>
                <w:b/>
                <w:sz w:val="20"/>
              </w:rPr>
              <w:t>47</w:t>
            </w:r>
            <w:r w:rsidR="005C0123">
              <w:rPr>
                <w:rFonts w:ascii="Calibri" w:hAnsi="Calibri" w:cs="Calibri"/>
                <w:b/>
                <w:sz w:val="20"/>
              </w:rPr>
              <w:t>1,82</w:t>
            </w:r>
          </w:p>
        </w:tc>
        <w:tc>
          <w:tcPr>
            <w:tcW w:w="1890" w:type="dxa"/>
            <w:vAlign w:val="center"/>
          </w:tcPr>
          <w:p w14:paraId="637248D3" w14:textId="39CC4EC7" w:rsidR="00C83D0B" w:rsidRPr="004C673F" w:rsidRDefault="00A24A17" w:rsidP="0090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  <w:r w:rsidRPr="004C673F">
              <w:rPr>
                <w:rFonts w:ascii="Calibri" w:hAnsi="Calibri" w:cs="Calibri"/>
                <w:b/>
                <w:sz w:val="20"/>
              </w:rPr>
              <w:t>82</w:t>
            </w:r>
            <w:r w:rsidR="00C83D0B" w:rsidRPr="004C673F">
              <w:rPr>
                <w:rFonts w:ascii="Calibri" w:hAnsi="Calibri" w:cs="Calibri"/>
                <w:b/>
                <w:sz w:val="20"/>
              </w:rPr>
              <w:t>.</w:t>
            </w:r>
            <w:r w:rsidRPr="004C673F">
              <w:rPr>
                <w:rFonts w:ascii="Calibri" w:hAnsi="Calibri" w:cs="Calibri"/>
                <w:b/>
                <w:sz w:val="20"/>
              </w:rPr>
              <w:t>3</w:t>
            </w:r>
            <w:r w:rsidR="00D41158">
              <w:rPr>
                <w:rFonts w:ascii="Calibri" w:hAnsi="Calibri" w:cs="Calibri"/>
                <w:b/>
                <w:sz w:val="20"/>
              </w:rPr>
              <w:t>52</w:t>
            </w:r>
            <w:r w:rsidR="005C0123">
              <w:rPr>
                <w:rFonts w:ascii="Calibri" w:hAnsi="Calibri" w:cs="Calibri"/>
                <w:b/>
                <w:sz w:val="20"/>
              </w:rPr>
              <w:t>,15</w:t>
            </w:r>
          </w:p>
        </w:tc>
      </w:tr>
    </w:tbl>
    <w:p w14:paraId="55A76224" w14:textId="77777777" w:rsidR="0062558B" w:rsidRDefault="0062558B" w:rsidP="00C83D0B">
      <w:pPr>
        <w:rPr>
          <w:rFonts w:ascii="Calibri" w:eastAsia="Calibri" w:hAnsi="Calibri" w:cs="Calibri"/>
          <w:szCs w:val="22"/>
        </w:rPr>
      </w:pPr>
    </w:p>
    <w:p w14:paraId="11476AB4" w14:textId="26D97297" w:rsidR="00C83D0B" w:rsidRPr="00BE457A" w:rsidRDefault="00C83D0B" w:rsidP="00C83D0B">
      <w:pPr>
        <w:rPr>
          <w:rFonts w:ascii="Calibri" w:eastAsia="Calibri" w:hAnsi="Calibri" w:cs="Calibri"/>
          <w:szCs w:val="22"/>
        </w:rPr>
      </w:pPr>
      <w:r w:rsidRPr="00BE457A">
        <w:rPr>
          <w:rFonts w:ascii="Calibri" w:eastAsia="Calibri" w:hAnsi="Calibri" w:cs="Calibri"/>
          <w:szCs w:val="22"/>
        </w:rPr>
        <w:t>Ukupna emisija CO</w:t>
      </w:r>
      <w:r w:rsidRPr="00BE457A">
        <w:rPr>
          <w:rFonts w:ascii="Calibri" w:eastAsia="Calibri" w:hAnsi="Calibri" w:cs="Calibri"/>
          <w:szCs w:val="22"/>
          <w:vertAlign w:val="subscript"/>
        </w:rPr>
        <w:t>2</w:t>
      </w:r>
      <w:r w:rsidRPr="00BE457A">
        <w:rPr>
          <w:rFonts w:ascii="Calibri" w:eastAsia="Calibri" w:hAnsi="Calibri" w:cs="Calibri"/>
          <w:szCs w:val="22"/>
        </w:rPr>
        <w:t xml:space="preserve"> sektora promet</w:t>
      </w:r>
      <w:r w:rsidR="00B9440B" w:rsidRPr="00BE457A">
        <w:rPr>
          <w:rFonts w:ascii="Calibri" w:eastAsia="Calibri" w:hAnsi="Calibri" w:cs="Calibri"/>
          <w:szCs w:val="22"/>
        </w:rPr>
        <w:t>a</w:t>
      </w:r>
      <w:r w:rsidRPr="00BE457A">
        <w:rPr>
          <w:rFonts w:ascii="Calibri" w:eastAsia="Calibri" w:hAnsi="Calibri" w:cs="Calibri"/>
          <w:szCs w:val="22"/>
        </w:rPr>
        <w:t xml:space="preserve"> u 201</w:t>
      </w:r>
      <w:r w:rsidR="00BE457A" w:rsidRPr="00BE457A">
        <w:rPr>
          <w:rFonts w:ascii="Calibri" w:eastAsia="Calibri" w:hAnsi="Calibri" w:cs="Calibri"/>
          <w:szCs w:val="22"/>
        </w:rPr>
        <w:t>7</w:t>
      </w:r>
      <w:r w:rsidRPr="00BE457A">
        <w:rPr>
          <w:rFonts w:ascii="Calibri" w:eastAsia="Calibri" w:hAnsi="Calibri" w:cs="Calibri"/>
          <w:szCs w:val="22"/>
        </w:rPr>
        <w:t xml:space="preserve">. godini iznosila je </w:t>
      </w:r>
      <w:r w:rsidR="00BE457A" w:rsidRPr="00BE457A">
        <w:rPr>
          <w:rFonts w:ascii="Calibri" w:eastAsia="Calibri" w:hAnsi="Calibri" w:cs="Calibri"/>
          <w:szCs w:val="22"/>
        </w:rPr>
        <w:t>82</w:t>
      </w:r>
      <w:r w:rsidRPr="00BE457A">
        <w:rPr>
          <w:rFonts w:ascii="Calibri" w:eastAsia="Calibri" w:hAnsi="Calibri" w:cs="Calibri"/>
          <w:szCs w:val="22"/>
        </w:rPr>
        <w:t>.</w:t>
      </w:r>
      <w:r w:rsidR="00BE457A" w:rsidRPr="00BE457A">
        <w:rPr>
          <w:rFonts w:ascii="Calibri" w:eastAsia="Calibri" w:hAnsi="Calibri" w:cs="Calibri"/>
          <w:szCs w:val="22"/>
        </w:rPr>
        <w:t>3</w:t>
      </w:r>
      <w:r w:rsidR="00AB3FAE">
        <w:rPr>
          <w:rFonts w:ascii="Calibri" w:eastAsia="Calibri" w:hAnsi="Calibri" w:cs="Calibri"/>
          <w:szCs w:val="22"/>
        </w:rPr>
        <w:t>52,15</w:t>
      </w:r>
      <w:r w:rsidRPr="00BE457A">
        <w:rPr>
          <w:rFonts w:ascii="Calibri" w:eastAsia="Calibri" w:hAnsi="Calibri" w:cs="Calibri"/>
          <w:szCs w:val="22"/>
        </w:rPr>
        <w:t xml:space="preserve"> t. </w:t>
      </w:r>
      <w:r w:rsidR="00946AE9" w:rsidRPr="00BE457A">
        <w:rPr>
          <w:rFonts w:ascii="Calibri" w:eastAsia="Calibri" w:hAnsi="Calibri" w:cs="Calibri"/>
          <w:szCs w:val="22"/>
        </w:rPr>
        <w:t>Najveći</w:t>
      </w:r>
      <w:r w:rsidRPr="00BE457A">
        <w:rPr>
          <w:rFonts w:ascii="Calibri" w:eastAsia="Calibri" w:hAnsi="Calibri" w:cs="Calibri"/>
          <w:szCs w:val="22"/>
        </w:rPr>
        <w:t xml:space="preserve"> udio u ukupnoj emisiji CO</w:t>
      </w:r>
      <w:r w:rsidRPr="00BE457A">
        <w:rPr>
          <w:rFonts w:ascii="Calibri" w:eastAsia="Calibri" w:hAnsi="Calibri" w:cs="Calibri"/>
          <w:szCs w:val="22"/>
          <w:vertAlign w:val="subscript"/>
        </w:rPr>
        <w:t>2</w:t>
      </w:r>
      <w:r w:rsidRPr="00BE457A">
        <w:rPr>
          <w:rFonts w:ascii="Calibri" w:eastAsia="Calibri" w:hAnsi="Calibri" w:cs="Calibri"/>
          <w:szCs w:val="22"/>
        </w:rPr>
        <w:t xml:space="preserve"> čini emisija iz </w:t>
      </w:r>
      <w:r w:rsidR="00BE457A" w:rsidRPr="00BE457A">
        <w:rPr>
          <w:rFonts w:ascii="Calibri" w:eastAsia="Calibri" w:hAnsi="Calibri" w:cs="Calibri"/>
          <w:szCs w:val="22"/>
        </w:rPr>
        <w:t>dizela</w:t>
      </w:r>
      <w:r w:rsidRPr="00BE457A">
        <w:rPr>
          <w:rFonts w:ascii="Calibri" w:eastAsia="Calibri" w:hAnsi="Calibri" w:cs="Calibri"/>
          <w:szCs w:val="22"/>
        </w:rPr>
        <w:t xml:space="preserve"> s udjelom od </w:t>
      </w:r>
      <w:r w:rsidR="00BE457A" w:rsidRPr="00BE457A">
        <w:rPr>
          <w:rFonts w:ascii="Calibri" w:eastAsia="Calibri" w:hAnsi="Calibri" w:cs="Calibri"/>
          <w:szCs w:val="22"/>
        </w:rPr>
        <w:t>60</w:t>
      </w:r>
      <w:r w:rsidRPr="00BE457A">
        <w:rPr>
          <w:rFonts w:ascii="Calibri" w:eastAsia="Calibri" w:hAnsi="Calibri" w:cs="Calibri"/>
          <w:szCs w:val="22"/>
        </w:rPr>
        <w:t>,</w:t>
      </w:r>
      <w:r w:rsidR="00BE457A" w:rsidRPr="00BE457A">
        <w:rPr>
          <w:rFonts w:ascii="Calibri" w:eastAsia="Calibri" w:hAnsi="Calibri" w:cs="Calibri"/>
          <w:szCs w:val="22"/>
        </w:rPr>
        <w:t>3</w:t>
      </w:r>
      <w:r w:rsidR="00AB3FAE">
        <w:rPr>
          <w:rFonts w:ascii="Calibri" w:eastAsia="Calibri" w:hAnsi="Calibri" w:cs="Calibri"/>
          <w:szCs w:val="22"/>
        </w:rPr>
        <w:t>8</w:t>
      </w:r>
      <w:r w:rsidRPr="00BE457A">
        <w:rPr>
          <w:rFonts w:ascii="Calibri" w:eastAsia="Calibri" w:hAnsi="Calibri" w:cs="Calibri"/>
          <w:szCs w:val="22"/>
        </w:rPr>
        <w:t xml:space="preserve"> %, </w:t>
      </w:r>
      <w:r w:rsidR="00AB3FAE">
        <w:rPr>
          <w:rFonts w:ascii="Calibri" w:eastAsia="Calibri" w:hAnsi="Calibri" w:cs="Calibri"/>
          <w:szCs w:val="22"/>
        </w:rPr>
        <w:t xml:space="preserve">a </w:t>
      </w:r>
      <w:r w:rsidRPr="00BE457A">
        <w:rPr>
          <w:rFonts w:ascii="Calibri" w:eastAsia="Calibri" w:hAnsi="Calibri" w:cs="Calibri"/>
          <w:szCs w:val="22"/>
        </w:rPr>
        <w:t xml:space="preserve">emisija iz potrošnje </w:t>
      </w:r>
      <w:r w:rsidR="00BE457A" w:rsidRPr="00BE457A">
        <w:rPr>
          <w:rFonts w:ascii="Calibri" w:eastAsia="Calibri" w:hAnsi="Calibri" w:cs="Calibri"/>
          <w:szCs w:val="22"/>
        </w:rPr>
        <w:t>motornog benzina</w:t>
      </w:r>
      <w:r w:rsidRPr="00BE457A">
        <w:rPr>
          <w:rFonts w:ascii="Calibri" w:eastAsia="Calibri" w:hAnsi="Calibri" w:cs="Calibri"/>
          <w:szCs w:val="22"/>
        </w:rPr>
        <w:t xml:space="preserve"> ima nešto manji udio od </w:t>
      </w:r>
      <w:r w:rsidR="00BE457A" w:rsidRPr="00BE457A">
        <w:rPr>
          <w:rFonts w:ascii="Calibri" w:eastAsia="Calibri" w:hAnsi="Calibri" w:cs="Calibri"/>
          <w:szCs w:val="22"/>
        </w:rPr>
        <w:t>38</w:t>
      </w:r>
      <w:r w:rsidRPr="00BE457A">
        <w:rPr>
          <w:rFonts w:ascii="Calibri" w:eastAsia="Calibri" w:hAnsi="Calibri" w:cs="Calibri"/>
          <w:szCs w:val="22"/>
        </w:rPr>
        <w:t>,</w:t>
      </w:r>
      <w:r w:rsidR="00AB3FAE">
        <w:rPr>
          <w:rFonts w:ascii="Calibri" w:eastAsia="Calibri" w:hAnsi="Calibri" w:cs="Calibri"/>
          <w:szCs w:val="22"/>
        </w:rPr>
        <w:t>6</w:t>
      </w:r>
      <w:r w:rsidR="00BE457A" w:rsidRPr="00BE457A">
        <w:rPr>
          <w:rFonts w:ascii="Calibri" w:eastAsia="Calibri" w:hAnsi="Calibri" w:cs="Calibri"/>
          <w:szCs w:val="22"/>
        </w:rPr>
        <w:t>7</w:t>
      </w:r>
      <w:r w:rsidRPr="00BE457A">
        <w:rPr>
          <w:rFonts w:ascii="Calibri" w:eastAsia="Calibri" w:hAnsi="Calibri" w:cs="Calibri"/>
          <w:szCs w:val="22"/>
        </w:rPr>
        <w:t xml:space="preserve"> %.</w:t>
      </w:r>
    </w:p>
    <w:p w14:paraId="3FCC65C8" w14:textId="141FD2D8" w:rsidR="00C83D0B" w:rsidRPr="00D975EB" w:rsidRDefault="00946AE9" w:rsidP="00D975EB">
      <w:pPr>
        <w:rPr>
          <w:rFonts w:ascii="Calibri" w:eastAsia="Calibri" w:hAnsi="Calibri" w:cs="Calibri"/>
          <w:szCs w:val="22"/>
        </w:rPr>
      </w:pPr>
      <w:r w:rsidRPr="00BE457A">
        <w:rPr>
          <w:rFonts w:ascii="Calibri" w:eastAsia="Calibri" w:hAnsi="Calibri" w:cs="Calibri"/>
          <w:szCs w:val="22"/>
        </w:rPr>
        <w:t>Promatrajući</w:t>
      </w:r>
      <w:r w:rsidR="00C83D0B" w:rsidRPr="00BE457A">
        <w:rPr>
          <w:rFonts w:ascii="Calibri" w:eastAsia="Calibri" w:hAnsi="Calibri" w:cs="Calibri"/>
          <w:szCs w:val="22"/>
        </w:rPr>
        <w:t xml:space="preserve"> podsektore unutar sektora prometa </w:t>
      </w:r>
      <w:r w:rsidRPr="00BE457A">
        <w:rPr>
          <w:rFonts w:ascii="Calibri" w:eastAsia="Calibri" w:hAnsi="Calibri" w:cs="Calibri"/>
          <w:szCs w:val="22"/>
        </w:rPr>
        <w:t>najveći</w:t>
      </w:r>
      <w:r w:rsidR="0097582A" w:rsidRPr="00BE457A">
        <w:rPr>
          <w:rFonts w:ascii="Calibri" w:eastAsia="Calibri" w:hAnsi="Calibri" w:cs="Calibri"/>
          <w:szCs w:val="22"/>
        </w:rPr>
        <w:t xml:space="preserve"> udio u ukupnoj emisiji</w:t>
      </w:r>
      <w:r w:rsidR="00C83D0B" w:rsidRPr="00BE457A">
        <w:rPr>
          <w:rFonts w:ascii="Calibri" w:eastAsia="Calibri" w:hAnsi="Calibri" w:cs="Calibri"/>
          <w:szCs w:val="22"/>
        </w:rPr>
        <w:t xml:space="preserve"> čini podsektor </w:t>
      </w:r>
      <w:r w:rsidR="00AB3FAE">
        <w:rPr>
          <w:rFonts w:ascii="Calibri" w:eastAsia="Calibri" w:hAnsi="Calibri" w:cs="Calibri"/>
          <w:szCs w:val="22"/>
        </w:rPr>
        <w:t>vozila gradskog cestovnog prometa</w:t>
      </w:r>
      <w:r w:rsidR="00C83D0B" w:rsidRPr="00BE457A">
        <w:rPr>
          <w:rFonts w:ascii="Calibri" w:eastAsia="Calibri" w:hAnsi="Calibri" w:cs="Calibri"/>
          <w:szCs w:val="22"/>
        </w:rPr>
        <w:t xml:space="preserve"> </w:t>
      </w:r>
      <w:r w:rsidR="0097582A" w:rsidRPr="00BE457A">
        <w:rPr>
          <w:rFonts w:ascii="Calibri" w:eastAsia="Calibri" w:hAnsi="Calibri" w:cs="Calibri"/>
          <w:szCs w:val="22"/>
        </w:rPr>
        <w:t xml:space="preserve">s </w:t>
      </w:r>
      <w:r w:rsidR="00C83D0B" w:rsidRPr="00BE457A">
        <w:rPr>
          <w:rFonts w:ascii="Calibri" w:eastAsia="Calibri" w:hAnsi="Calibri" w:cs="Calibri"/>
          <w:szCs w:val="22"/>
        </w:rPr>
        <w:t>9</w:t>
      </w:r>
      <w:r w:rsidR="00BE457A" w:rsidRPr="00BE457A">
        <w:rPr>
          <w:rFonts w:ascii="Calibri" w:eastAsia="Calibri" w:hAnsi="Calibri" w:cs="Calibri"/>
          <w:szCs w:val="22"/>
        </w:rPr>
        <w:t>4</w:t>
      </w:r>
      <w:r w:rsidR="00C83D0B" w:rsidRPr="00BE457A">
        <w:rPr>
          <w:rFonts w:ascii="Calibri" w:eastAsia="Calibri" w:hAnsi="Calibri" w:cs="Calibri"/>
          <w:szCs w:val="22"/>
        </w:rPr>
        <w:t>,</w:t>
      </w:r>
      <w:r w:rsidR="00BE457A" w:rsidRPr="00BE457A">
        <w:rPr>
          <w:rFonts w:ascii="Calibri" w:eastAsia="Calibri" w:hAnsi="Calibri" w:cs="Calibri"/>
          <w:szCs w:val="22"/>
        </w:rPr>
        <w:t>0</w:t>
      </w:r>
      <w:r w:rsidR="00AB3FAE">
        <w:rPr>
          <w:rFonts w:ascii="Calibri" w:eastAsia="Calibri" w:hAnsi="Calibri" w:cs="Calibri"/>
          <w:szCs w:val="22"/>
        </w:rPr>
        <w:t>7</w:t>
      </w:r>
      <w:r w:rsidR="00DD6136">
        <w:rPr>
          <w:rFonts w:ascii="Calibri" w:eastAsia="Calibri" w:hAnsi="Calibri" w:cs="Calibri"/>
          <w:szCs w:val="22"/>
        </w:rPr>
        <w:t xml:space="preserve"> %.</w:t>
      </w:r>
    </w:p>
    <w:p w14:paraId="13474A91" w14:textId="4CFDE57D" w:rsidR="007A0AF0" w:rsidRPr="00B2586A" w:rsidRDefault="004A53D3" w:rsidP="00C83D0B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drawing>
          <wp:inline distT="0" distB="0" distL="0" distR="0" wp14:anchorId="2DE45CD3" wp14:editId="3D4CF91F">
            <wp:extent cx="5370830" cy="5730875"/>
            <wp:effectExtent l="0" t="0" r="127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573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597E6" w14:textId="166AD1A7" w:rsidR="00C83D0B" w:rsidRPr="00B2586A" w:rsidRDefault="00C83D0B" w:rsidP="00535DE0">
      <w:pPr>
        <w:pStyle w:val="Opisslike"/>
        <w:rPr>
          <w:rFonts w:ascii="Calibri" w:eastAsia="Calibri" w:hAnsi="Calibri" w:cs="Calibri"/>
          <w:highlight w:val="yellow"/>
        </w:rPr>
      </w:pPr>
      <w:r w:rsidRPr="00F76534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06A79">
        <w:rPr>
          <w:noProof/>
        </w:rPr>
        <w:t>10</w:t>
      </w:r>
      <w:r w:rsidR="00482BED">
        <w:rPr>
          <w:noProof/>
        </w:rPr>
        <w:fldChar w:fldCharType="end"/>
      </w:r>
      <w:r w:rsidR="00B9440B" w:rsidRPr="00F76534">
        <w:t>:</w:t>
      </w:r>
      <w:r w:rsidRPr="00F76534">
        <w:t xml:space="preserve"> </w:t>
      </w:r>
      <w:r w:rsidR="007A0AF0" w:rsidRPr="00866787">
        <w:t>Usporedba emisija CO</w:t>
      </w:r>
      <w:r w:rsidR="007A0AF0" w:rsidRPr="00866787">
        <w:rPr>
          <w:vertAlign w:val="subscript"/>
        </w:rPr>
        <w:t>2</w:t>
      </w:r>
      <w:r w:rsidR="007A0AF0" w:rsidRPr="00866787">
        <w:t xml:space="preserve"> podsektora unutar sektora prometa Grada Zadra p</w:t>
      </w:r>
      <w:r w:rsidR="007A0AF0">
        <w:t>rema vrsti</w:t>
      </w:r>
      <w:r w:rsidR="007A0AF0" w:rsidRPr="00866787">
        <w:t xml:space="preserve"> goriv</w:t>
      </w:r>
      <w:r w:rsidR="007A0AF0">
        <w:t>a</w:t>
      </w:r>
    </w:p>
    <w:p w14:paraId="0EF01840" w14:textId="0AA7EAD1" w:rsidR="004C673F" w:rsidRDefault="004C673F">
      <w:pPr>
        <w:spacing w:after="0"/>
        <w:jc w:val="left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br w:type="page"/>
      </w:r>
    </w:p>
    <w:p w14:paraId="28556A44" w14:textId="77777777" w:rsidR="00C83D0B" w:rsidRPr="00BE457A" w:rsidRDefault="00C83D0B" w:rsidP="00E326D8">
      <w:pPr>
        <w:pStyle w:val="Naslov2"/>
      </w:pPr>
      <w:r w:rsidRPr="00BE457A">
        <w:lastRenderedPageBreak/>
        <w:t>Kontrolni inventar emisija CO</w:t>
      </w:r>
      <w:r w:rsidRPr="00BE457A">
        <w:rPr>
          <w:vertAlign w:val="subscript"/>
        </w:rPr>
        <w:t>2</w:t>
      </w:r>
      <w:r w:rsidRPr="00BE457A">
        <w:t xml:space="preserve"> iz sektora javne rasvjete</w:t>
      </w:r>
    </w:p>
    <w:p w14:paraId="6FDA7D08" w14:textId="77777777" w:rsidR="00C83D0B" w:rsidRPr="00B2586A" w:rsidRDefault="00C83D0B" w:rsidP="00C83D0B">
      <w:pPr>
        <w:rPr>
          <w:highlight w:val="yellow"/>
        </w:rPr>
      </w:pPr>
    </w:p>
    <w:p w14:paraId="2BFB7CF1" w14:textId="5BDF7C1F" w:rsidR="00C83D0B" w:rsidRPr="00BE457A" w:rsidRDefault="00C83D0B" w:rsidP="00C83D0B">
      <w:pPr>
        <w:rPr>
          <w:rFonts w:ascii="Calibri" w:eastAsia="Calibri" w:hAnsi="Calibri" w:cs="Calibri"/>
          <w:szCs w:val="22"/>
        </w:rPr>
      </w:pPr>
      <w:r w:rsidRPr="00BE457A">
        <w:rPr>
          <w:rFonts w:ascii="Calibri" w:eastAsia="Calibri" w:hAnsi="Calibri" w:cs="Calibri"/>
          <w:szCs w:val="22"/>
        </w:rPr>
        <w:t>Emisiju CO</w:t>
      </w:r>
      <w:r w:rsidRPr="00BE457A">
        <w:rPr>
          <w:rFonts w:ascii="Calibri" w:eastAsia="Calibri" w:hAnsi="Calibri" w:cs="Calibri"/>
          <w:szCs w:val="22"/>
          <w:vertAlign w:val="subscript"/>
        </w:rPr>
        <w:t>2</w:t>
      </w:r>
      <w:r w:rsidRPr="00BE457A">
        <w:rPr>
          <w:rFonts w:ascii="Calibri" w:eastAsia="Calibri" w:hAnsi="Calibri" w:cs="Calibri"/>
          <w:szCs w:val="22"/>
        </w:rPr>
        <w:t xml:space="preserve"> sektora javne rasvjete čini neizravna emisija CO</w:t>
      </w:r>
      <w:r w:rsidRPr="00BE457A">
        <w:rPr>
          <w:rFonts w:ascii="Calibri" w:eastAsia="Calibri" w:hAnsi="Calibri" w:cs="Calibri"/>
          <w:szCs w:val="22"/>
          <w:vertAlign w:val="subscript"/>
        </w:rPr>
        <w:t>2</w:t>
      </w:r>
      <w:r w:rsidRPr="00BE457A">
        <w:rPr>
          <w:rFonts w:ascii="Calibri" w:eastAsia="Calibri" w:hAnsi="Calibri" w:cs="Calibri"/>
          <w:szCs w:val="22"/>
        </w:rPr>
        <w:t xml:space="preserve"> zbog potrošnje električne energije mreže javne rasvjete. U </w:t>
      </w:r>
      <w:r w:rsidR="001B7E8C">
        <w:rPr>
          <w:rFonts w:ascii="Calibri" w:eastAsia="Calibri" w:hAnsi="Calibri" w:cs="Calibri"/>
          <w:szCs w:val="22"/>
        </w:rPr>
        <w:t>T</w:t>
      </w:r>
      <w:r w:rsidRPr="00BE457A">
        <w:rPr>
          <w:rFonts w:ascii="Calibri" w:eastAsia="Calibri" w:hAnsi="Calibri" w:cs="Calibri"/>
          <w:szCs w:val="22"/>
        </w:rPr>
        <w:t xml:space="preserve">ablici </w:t>
      </w:r>
      <w:r w:rsidR="00E05D57">
        <w:rPr>
          <w:rFonts w:ascii="Calibri" w:eastAsia="Calibri" w:hAnsi="Calibri" w:cs="Calibri"/>
          <w:szCs w:val="22"/>
        </w:rPr>
        <w:t>13</w:t>
      </w:r>
      <w:r w:rsidR="001B7E8C" w:rsidRPr="00BE457A">
        <w:rPr>
          <w:rFonts w:ascii="Calibri" w:eastAsia="Calibri" w:hAnsi="Calibri" w:cs="Calibri"/>
          <w:szCs w:val="22"/>
        </w:rPr>
        <w:t xml:space="preserve"> </w:t>
      </w:r>
      <w:r w:rsidRPr="00BE457A">
        <w:rPr>
          <w:rFonts w:ascii="Calibri" w:eastAsia="Calibri" w:hAnsi="Calibri" w:cs="Calibri"/>
          <w:szCs w:val="22"/>
        </w:rPr>
        <w:t>dan</w:t>
      </w:r>
      <w:r w:rsidR="00B9440B" w:rsidRPr="00BE457A">
        <w:rPr>
          <w:rFonts w:ascii="Calibri" w:eastAsia="Calibri" w:hAnsi="Calibri" w:cs="Calibri"/>
          <w:szCs w:val="22"/>
        </w:rPr>
        <w:t>a</w:t>
      </w:r>
      <w:r w:rsidRPr="00BE457A">
        <w:rPr>
          <w:rFonts w:ascii="Calibri" w:eastAsia="Calibri" w:hAnsi="Calibri" w:cs="Calibri"/>
          <w:szCs w:val="22"/>
        </w:rPr>
        <w:t xml:space="preserve"> </w:t>
      </w:r>
      <w:r w:rsidR="00B9440B" w:rsidRPr="00BE457A">
        <w:rPr>
          <w:rFonts w:ascii="Calibri" w:eastAsia="Calibri" w:hAnsi="Calibri" w:cs="Calibri"/>
          <w:szCs w:val="22"/>
        </w:rPr>
        <w:t xml:space="preserve">je </w:t>
      </w:r>
      <w:r w:rsidRPr="00BE457A">
        <w:rPr>
          <w:rFonts w:ascii="Calibri" w:eastAsia="Calibri" w:hAnsi="Calibri" w:cs="Calibri"/>
          <w:szCs w:val="22"/>
        </w:rPr>
        <w:t>potrošnj</w:t>
      </w:r>
      <w:r w:rsidR="00B9440B" w:rsidRPr="00BE457A">
        <w:rPr>
          <w:rFonts w:ascii="Calibri" w:eastAsia="Calibri" w:hAnsi="Calibri" w:cs="Calibri"/>
          <w:szCs w:val="22"/>
        </w:rPr>
        <w:t>a</w:t>
      </w:r>
      <w:r w:rsidRPr="00BE457A">
        <w:rPr>
          <w:rFonts w:ascii="Calibri" w:eastAsia="Calibri" w:hAnsi="Calibri" w:cs="Calibri"/>
          <w:szCs w:val="22"/>
        </w:rPr>
        <w:t xml:space="preserve"> električne energije i </w:t>
      </w:r>
      <w:r w:rsidR="00FA3F26" w:rsidRPr="00BE457A">
        <w:rPr>
          <w:rFonts w:ascii="Calibri" w:eastAsia="Calibri" w:hAnsi="Calibri" w:cs="Calibri"/>
          <w:szCs w:val="22"/>
        </w:rPr>
        <w:t>pripadajuće</w:t>
      </w:r>
      <w:r w:rsidRPr="00BE457A">
        <w:rPr>
          <w:rFonts w:ascii="Calibri" w:eastAsia="Calibri" w:hAnsi="Calibri" w:cs="Calibri"/>
          <w:szCs w:val="22"/>
        </w:rPr>
        <w:t xml:space="preserve"> emisije CO</w:t>
      </w:r>
      <w:r w:rsidRPr="00BE457A">
        <w:rPr>
          <w:rFonts w:ascii="Calibri" w:eastAsia="Calibri" w:hAnsi="Calibri" w:cs="Calibri"/>
          <w:szCs w:val="22"/>
          <w:vertAlign w:val="subscript"/>
        </w:rPr>
        <w:t>2</w:t>
      </w:r>
      <w:r w:rsidRPr="00BE457A">
        <w:rPr>
          <w:rFonts w:ascii="Calibri" w:eastAsia="Calibri" w:hAnsi="Calibri" w:cs="Calibri"/>
          <w:szCs w:val="22"/>
        </w:rPr>
        <w:t xml:space="preserve"> za električnu mrežu javne rasvjete.</w:t>
      </w:r>
    </w:p>
    <w:p w14:paraId="731D9836" w14:textId="27A98F4D" w:rsidR="00C83D0B" w:rsidRPr="00BE457A" w:rsidRDefault="00C83D0B" w:rsidP="00535DE0">
      <w:pPr>
        <w:pStyle w:val="Opisslike"/>
      </w:pPr>
      <w:r w:rsidRPr="00BE457A">
        <w:t xml:space="preserve">Tablica </w:t>
      </w:r>
      <w:r w:rsidR="00E05D57">
        <w:t>13</w:t>
      </w:r>
      <w:r w:rsidR="00B9440B" w:rsidRPr="00BE457A">
        <w:t>:</w:t>
      </w:r>
      <w:r w:rsidRPr="00BE457A">
        <w:t xml:space="preserve"> Potrošnja električne energije i neizravna emisija CO</w:t>
      </w:r>
      <w:r w:rsidRPr="00BE457A">
        <w:rPr>
          <w:vertAlign w:val="subscript"/>
        </w:rPr>
        <w:t>2</w:t>
      </w:r>
      <w:r w:rsidRPr="00BE457A">
        <w:t xml:space="preserve"> električne mreže javne rasvjete</w:t>
      </w:r>
    </w:p>
    <w:tbl>
      <w:tblPr>
        <w:tblStyle w:val="GridTable4-Accent61"/>
        <w:tblW w:w="0" w:type="auto"/>
        <w:tblInd w:w="108" w:type="dxa"/>
        <w:tblLook w:val="04A0" w:firstRow="1" w:lastRow="0" w:firstColumn="1" w:lastColumn="0" w:noHBand="0" w:noVBand="1"/>
      </w:tblPr>
      <w:tblGrid>
        <w:gridCol w:w="2224"/>
        <w:gridCol w:w="2492"/>
        <w:gridCol w:w="2396"/>
        <w:gridCol w:w="2402"/>
      </w:tblGrid>
      <w:tr w:rsidR="00C83D0B" w:rsidRPr="00BE457A" w14:paraId="05BC7387" w14:textId="77777777" w:rsidTr="00346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51653DB0" w14:textId="77777777" w:rsidR="00C83D0B" w:rsidRPr="00BE457A" w:rsidRDefault="00C83D0B" w:rsidP="00FC33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0" w:type="dxa"/>
            <w:gridSpan w:val="2"/>
            <w:vAlign w:val="center"/>
          </w:tcPr>
          <w:p w14:paraId="33FC5C55" w14:textId="77777777" w:rsidR="00C83D0B" w:rsidRPr="00BE457A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E457A">
              <w:rPr>
                <w:rFonts w:ascii="Calibri" w:hAnsi="Calibri" w:cs="Calibri"/>
              </w:rPr>
              <w:t>Potrošnja električne energije</w:t>
            </w:r>
          </w:p>
        </w:tc>
        <w:tc>
          <w:tcPr>
            <w:tcW w:w="2430" w:type="dxa"/>
            <w:vAlign w:val="center"/>
          </w:tcPr>
          <w:p w14:paraId="736F0916" w14:textId="77777777" w:rsidR="00C83D0B" w:rsidRPr="00BE457A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E457A">
              <w:rPr>
                <w:rFonts w:ascii="Calibri" w:hAnsi="Calibri" w:cs="Calibri"/>
              </w:rPr>
              <w:t>Emisija CO</w:t>
            </w:r>
            <w:r w:rsidRPr="00BE457A">
              <w:rPr>
                <w:rFonts w:ascii="Calibri" w:hAnsi="Calibri" w:cs="Calibri"/>
                <w:vertAlign w:val="subscript"/>
              </w:rPr>
              <w:t>2</w:t>
            </w:r>
          </w:p>
        </w:tc>
      </w:tr>
      <w:tr w:rsidR="00C83D0B" w:rsidRPr="00BE457A" w14:paraId="11FC70B7" w14:textId="77777777" w:rsidTr="00346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29A8B020" w14:textId="77777777" w:rsidR="00C83D0B" w:rsidRPr="00BE457A" w:rsidRDefault="00C83D0B" w:rsidP="00FC33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7798A4D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457A">
              <w:rPr>
                <w:rFonts w:ascii="Calibri" w:hAnsi="Calibri" w:cs="Calibri"/>
                <w:b/>
              </w:rPr>
              <w:t>kWh</w:t>
            </w:r>
          </w:p>
        </w:tc>
        <w:tc>
          <w:tcPr>
            <w:tcW w:w="2430" w:type="dxa"/>
            <w:vAlign w:val="center"/>
          </w:tcPr>
          <w:p w14:paraId="1CBB7B2D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457A">
              <w:rPr>
                <w:rFonts w:ascii="Calibri" w:hAnsi="Calibri" w:cs="Calibri"/>
                <w:b/>
              </w:rPr>
              <w:t>TJ</w:t>
            </w:r>
          </w:p>
        </w:tc>
        <w:tc>
          <w:tcPr>
            <w:tcW w:w="2430" w:type="dxa"/>
            <w:vAlign w:val="center"/>
          </w:tcPr>
          <w:p w14:paraId="5F712099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vertAlign w:val="subscript"/>
              </w:rPr>
            </w:pPr>
            <w:r w:rsidRPr="00BE457A">
              <w:rPr>
                <w:rFonts w:ascii="Calibri" w:hAnsi="Calibri" w:cs="Calibri"/>
                <w:b/>
              </w:rPr>
              <w:t>tCO</w:t>
            </w:r>
            <w:r w:rsidRPr="00BE457A">
              <w:rPr>
                <w:rFonts w:ascii="Calibri" w:hAnsi="Calibri" w:cs="Calibri"/>
                <w:b/>
                <w:vertAlign w:val="subscript"/>
              </w:rPr>
              <w:t>2</w:t>
            </w:r>
          </w:p>
        </w:tc>
      </w:tr>
      <w:tr w:rsidR="00C83D0B" w:rsidRPr="00B2586A" w14:paraId="28EB6C64" w14:textId="77777777" w:rsidTr="00346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1C7CDBDF" w14:textId="77777777" w:rsidR="00C83D0B" w:rsidRPr="00BE457A" w:rsidRDefault="00C83D0B" w:rsidP="00FC33F7">
            <w:pPr>
              <w:jc w:val="center"/>
              <w:rPr>
                <w:rFonts w:ascii="Calibri" w:hAnsi="Calibri" w:cs="Calibri"/>
              </w:rPr>
            </w:pPr>
            <w:r w:rsidRPr="00BE457A">
              <w:rPr>
                <w:rFonts w:ascii="Calibri" w:hAnsi="Calibri" w:cs="Calibri"/>
              </w:rPr>
              <w:t>Javna rasvjeta</w:t>
            </w:r>
          </w:p>
        </w:tc>
        <w:tc>
          <w:tcPr>
            <w:tcW w:w="2520" w:type="dxa"/>
            <w:vAlign w:val="center"/>
          </w:tcPr>
          <w:p w14:paraId="7D0BC71C" w14:textId="23CA7CF2" w:rsidR="00C83D0B" w:rsidRPr="00BE457A" w:rsidRDefault="00C83D0B" w:rsidP="003F5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E457A">
              <w:rPr>
                <w:rFonts w:ascii="Calibri" w:hAnsi="Calibri" w:cs="Calibri"/>
              </w:rPr>
              <w:t>8.</w:t>
            </w:r>
            <w:r w:rsidR="00BE457A">
              <w:rPr>
                <w:rFonts w:ascii="Calibri" w:hAnsi="Calibri" w:cs="Calibri"/>
              </w:rPr>
              <w:t>212</w:t>
            </w:r>
            <w:r w:rsidRPr="00BE457A">
              <w:rPr>
                <w:rFonts w:ascii="Calibri" w:hAnsi="Calibri" w:cs="Calibri"/>
              </w:rPr>
              <w:t>.000</w:t>
            </w:r>
          </w:p>
        </w:tc>
        <w:tc>
          <w:tcPr>
            <w:tcW w:w="2430" w:type="dxa"/>
            <w:vAlign w:val="center"/>
          </w:tcPr>
          <w:p w14:paraId="47E279DA" w14:textId="4140DA79" w:rsidR="00C83D0B" w:rsidRPr="00BE457A" w:rsidRDefault="00C83D0B" w:rsidP="00FC3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E457A">
              <w:rPr>
                <w:rFonts w:ascii="Calibri" w:hAnsi="Calibri" w:cs="Calibri"/>
              </w:rPr>
              <w:t>29,</w:t>
            </w:r>
            <w:r w:rsidR="00BE457A">
              <w:rPr>
                <w:rFonts w:ascii="Calibri" w:hAnsi="Calibri" w:cs="Calibri"/>
              </w:rPr>
              <w:t>56</w:t>
            </w:r>
          </w:p>
        </w:tc>
        <w:tc>
          <w:tcPr>
            <w:tcW w:w="2430" w:type="dxa"/>
            <w:vAlign w:val="center"/>
          </w:tcPr>
          <w:p w14:paraId="566983A0" w14:textId="2EEB45E1" w:rsidR="00C83D0B" w:rsidRPr="00BE457A" w:rsidRDefault="00BE457A" w:rsidP="005C0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83D0B" w:rsidRPr="00BE457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08</w:t>
            </w:r>
            <w:r w:rsidR="005C0123">
              <w:rPr>
                <w:rFonts w:ascii="Calibri" w:hAnsi="Calibri" w:cs="Calibri"/>
              </w:rPr>
              <w:t>7,71</w:t>
            </w:r>
          </w:p>
        </w:tc>
      </w:tr>
    </w:tbl>
    <w:p w14:paraId="1526BFBC" w14:textId="77777777" w:rsidR="00C83D0B" w:rsidRPr="00B2586A" w:rsidRDefault="00C83D0B" w:rsidP="00C83D0B">
      <w:pPr>
        <w:ind w:left="720"/>
        <w:contextualSpacing/>
        <w:rPr>
          <w:rFonts w:ascii="Calibri" w:eastAsia="Calibri" w:hAnsi="Calibri" w:cs="Calibri"/>
          <w:highlight w:val="yellow"/>
        </w:rPr>
      </w:pPr>
    </w:p>
    <w:p w14:paraId="6323D90D" w14:textId="213D16C1" w:rsidR="00C83D0B" w:rsidRPr="00BE457A" w:rsidRDefault="00C83D0B" w:rsidP="00E326D8">
      <w:pPr>
        <w:pStyle w:val="Naslov2"/>
      </w:pPr>
      <w:bookmarkStart w:id="4" w:name="_Toc35595984"/>
      <w:r w:rsidRPr="00BE457A">
        <w:t>Ukupn</w:t>
      </w:r>
      <w:bookmarkEnd w:id="4"/>
      <w:r w:rsidRPr="00BE457A">
        <w:t xml:space="preserve">i </w:t>
      </w:r>
      <w:r w:rsidR="001B7E8C">
        <w:t>K</w:t>
      </w:r>
      <w:r w:rsidRPr="00BE457A">
        <w:t>ontrolni inventar emisija CO</w:t>
      </w:r>
      <w:r w:rsidRPr="00BE457A">
        <w:rPr>
          <w:vertAlign w:val="subscript"/>
        </w:rPr>
        <w:t>2</w:t>
      </w:r>
      <w:r w:rsidRPr="00BE457A">
        <w:t xml:space="preserve"> </w:t>
      </w:r>
      <w:r w:rsidR="001B7E8C">
        <w:t>na administrativnom području G</w:t>
      </w:r>
      <w:r w:rsidRPr="00BE457A">
        <w:t xml:space="preserve">rada </w:t>
      </w:r>
      <w:r w:rsidR="00BE457A" w:rsidRPr="00BE457A">
        <w:t>Zadra</w:t>
      </w:r>
    </w:p>
    <w:p w14:paraId="714AA9A7" w14:textId="77777777" w:rsidR="00C83D0B" w:rsidRPr="00BE457A" w:rsidRDefault="00C83D0B" w:rsidP="00C83D0B"/>
    <w:p w14:paraId="585B5504" w14:textId="3E89E9CE" w:rsidR="00C83D0B" w:rsidRPr="00BE457A" w:rsidRDefault="00C83D0B" w:rsidP="00535DE0">
      <w:pPr>
        <w:pStyle w:val="Opisslike"/>
      </w:pPr>
      <w:r w:rsidRPr="00BE457A">
        <w:t xml:space="preserve">Tablica </w:t>
      </w:r>
      <w:r w:rsidR="006357E8">
        <w:t>14</w:t>
      </w:r>
      <w:r w:rsidR="00B9440B" w:rsidRPr="00BE457A">
        <w:t>:</w:t>
      </w:r>
      <w:r w:rsidRPr="00BE457A">
        <w:t xml:space="preserve"> Emisija CO</w:t>
      </w:r>
      <w:r w:rsidRPr="00BE457A">
        <w:rPr>
          <w:vertAlign w:val="subscript"/>
        </w:rPr>
        <w:t>2</w:t>
      </w:r>
      <w:r w:rsidRPr="00BE457A">
        <w:t xml:space="preserve"> po sektorima i energentima</w:t>
      </w:r>
    </w:p>
    <w:tbl>
      <w:tblPr>
        <w:tblStyle w:val="GridTable4-Accent11"/>
        <w:tblW w:w="0" w:type="auto"/>
        <w:jc w:val="center"/>
        <w:tblLook w:val="04A0" w:firstRow="1" w:lastRow="0" w:firstColumn="1" w:lastColumn="0" w:noHBand="0" w:noVBand="1"/>
      </w:tblPr>
      <w:tblGrid>
        <w:gridCol w:w="1766"/>
        <w:gridCol w:w="1509"/>
        <w:gridCol w:w="1503"/>
        <w:gridCol w:w="1519"/>
        <w:gridCol w:w="1694"/>
        <w:gridCol w:w="1523"/>
      </w:tblGrid>
      <w:tr w:rsidR="00C83D0B" w:rsidRPr="00BE457A" w14:paraId="7FB6219D" w14:textId="77777777" w:rsidTr="00D41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 w:val="restart"/>
            <w:vAlign w:val="center"/>
          </w:tcPr>
          <w:p w14:paraId="42D96347" w14:textId="77777777" w:rsidR="00C83D0B" w:rsidRPr="00BE457A" w:rsidRDefault="00C83D0B" w:rsidP="00FC33F7">
            <w:pPr>
              <w:jc w:val="center"/>
              <w:rPr>
                <w:rFonts w:cstheme="minorHAnsi"/>
              </w:rPr>
            </w:pPr>
            <w:r w:rsidRPr="00BE457A">
              <w:rPr>
                <w:rFonts w:cstheme="minorHAnsi"/>
              </w:rPr>
              <w:t>Energent</w:t>
            </w:r>
          </w:p>
        </w:tc>
        <w:tc>
          <w:tcPr>
            <w:tcW w:w="6225" w:type="dxa"/>
            <w:gridSpan w:val="4"/>
            <w:vAlign w:val="center"/>
          </w:tcPr>
          <w:p w14:paraId="28C2790E" w14:textId="77777777" w:rsidR="00C83D0B" w:rsidRPr="00BE457A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457A">
              <w:rPr>
                <w:rFonts w:cstheme="minorHAnsi"/>
              </w:rPr>
              <w:t>Emisija CO</w:t>
            </w:r>
            <w:r w:rsidRPr="00BE457A">
              <w:rPr>
                <w:rFonts w:cstheme="minorHAnsi"/>
                <w:vertAlign w:val="subscript"/>
              </w:rPr>
              <w:t>2</w:t>
            </w:r>
            <w:r w:rsidRPr="00BE457A">
              <w:rPr>
                <w:rFonts w:cstheme="minorHAnsi"/>
              </w:rPr>
              <w:t xml:space="preserve"> (tCO</w:t>
            </w:r>
            <w:r w:rsidRPr="00BE457A">
              <w:rPr>
                <w:rFonts w:cstheme="minorHAnsi"/>
                <w:vertAlign w:val="subscript"/>
              </w:rPr>
              <w:t>2</w:t>
            </w:r>
            <w:r w:rsidRPr="00BE457A">
              <w:rPr>
                <w:rFonts w:cstheme="minorHAnsi"/>
              </w:rPr>
              <w:t>)</w:t>
            </w:r>
          </w:p>
        </w:tc>
        <w:tc>
          <w:tcPr>
            <w:tcW w:w="1523" w:type="dxa"/>
            <w:vAlign w:val="center"/>
          </w:tcPr>
          <w:p w14:paraId="47AAD4E5" w14:textId="77777777" w:rsidR="00C83D0B" w:rsidRPr="00BE457A" w:rsidRDefault="00C83D0B" w:rsidP="00FC3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457A">
              <w:rPr>
                <w:rFonts w:cstheme="minorHAnsi"/>
              </w:rPr>
              <w:t>%</w:t>
            </w:r>
          </w:p>
        </w:tc>
      </w:tr>
      <w:tr w:rsidR="00C83D0B" w:rsidRPr="00BE457A" w14:paraId="131C44A0" w14:textId="77777777" w:rsidTr="00D4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Merge/>
            <w:vAlign w:val="center"/>
          </w:tcPr>
          <w:p w14:paraId="09348EBB" w14:textId="77777777" w:rsidR="00C83D0B" w:rsidRPr="00BE457A" w:rsidRDefault="00C83D0B" w:rsidP="00FC33F7">
            <w:pPr>
              <w:jc w:val="center"/>
              <w:rPr>
                <w:rFonts w:cstheme="minorHAnsi"/>
              </w:rPr>
            </w:pPr>
          </w:p>
        </w:tc>
        <w:tc>
          <w:tcPr>
            <w:tcW w:w="1509" w:type="dxa"/>
            <w:vAlign w:val="center"/>
          </w:tcPr>
          <w:p w14:paraId="405457CD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E457A">
              <w:rPr>
                <w:rFonts w:cstheme="minorHAnsi"/>
                <w:b/>
              </w:rPr>
              <w:t>Promet</w:t>
            </w:r>
          </w:p>
        </w:tc>
        <w:tc>
          <w:tcPr>
            <w:tcW w:w="1503" w:type="dxa"/>
            <w:vAlign w:val="center"/>
          </w:tcPr>
          <w:p w14:paraId="7EB93254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E457A">
              <w:rPr>
                <w:rFonts w:cstheme="minorHAnsi"/>
                <w:b/>
              </w:rPr>
              <w:t>Javna rasvjeta</w:t>
            </w:r>
          </w:p>
        </w:tc>
        <w:tc>
          <w:tcPr>
            <w:tcW w:w="1519" w:type="dxa"/>
            <w:vAlign w:val="center"/>
          </w:tcPr>
          <w:p w14:paraId="21CCBF12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E457A">
              <w:rPr>
                <w:rFonts w:cstheme="minorHAnsi"/>
                <w:b/>
              </w:rPr>
              <w:t>Zgradarstvo</w:t>
            </w:r>
          </w:p>
        </w:tc>
        <w:tc>
          <w:tcPr>
            <w:tcW w:w="1694" w:type="dxa"/>
            <w:vAlign w:val="center"/>
          </w:tcPr>
          <w:p w14:paraId="46CAE770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E457A">
              <w:rPr>
                <w:rFonts w:cstheme="minorHAnsi"/>
                <w:b/>
              </w:rPr>
              <w:t>Ukupno po energentima</w:t>
            </w:r>
          </w:p>
        </w:tc>
        <w:tc>
          <w:tcPr>
            <w:tcW w:w="1523" w:type="dxa"/>
            <w:vAlign w:val="center"/>
          </w:tcPr>
          <w:p w14:paraId="711D7B9E" w14:textId="77777777" w:rsidR="00C83D0B" w:rsidRPr="00BE457A" w:rsidRDefault="00C83D0B" w:rsidP="00FC3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E457A">
              <w:rPr>
                <w:rFonts w:cstheme="minorHAnsi"/>
                <w:b/>
              </w:rPr>
              <w:t>Udio po energentima</w:t>
            </w:r>
          </w:p>
        </w:tc>
      </w:tr>
      <w:tr w:rsidR="00D41158" w:rsidRPr="00BE457A" w14:paraId="51041007" w14:textId="77777777" w:rsidTr="00D41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733F765" w14:textId="522C665D" w:rsidR="00D41158" w:rsidRPr="00BE457A" w:rsidRDefault="00D41158" w:rsidP="00D41158">
            <w:pPr>
              <w:jc w:val="center"/>
              <w:rPr>
                <w:rFonts w:cstheme="minorHAnsi"/>
              </w:rPr>
            </w:pPr>
            <w:r w:rsidRPr="00BE457A">
              <w:rPr>
                <w:rFonts w:cstheme="minorHAnsi"/>
              </w:rPr>
              <w:t>Električna energija</w:t>
            </w:r>
          </w:p>
        </w:tc>
        <w:tc>
          <w:tcPr>
            <w:tcW w:w="1509" w:type="dxa"/>
          </w:tcPr>
          <w:p w14:paraId="7FA6D3A0" w14:textId="784E7C06" w:rsid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0,01</w:t>
            </w:r>
          </w:p>
        </w:tc>
        <w:tc>
          <w:tcPr>
            <w:tcW w:w="1503" w:type="dxa"/>
          </w:tcPr>
          <w:p w14:paraId="3E119D95" w14:textId="4BDB69AA" w:rsidR="00D41158" w:rsidRDefault="00D41158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3.08</w:t>
            </w:r>
            <w:r w:rsidR="009855DB">
              <w:t>7,71</w:t>
            </w:r>
          </w:p>
        </w:tc>
        <w:tc>
          <w:tcPr>
            <w:tcW w:w="1519" w:type="dxa"/>
          </w:tcPr>
          <w:p w14:paraId="44D72BBB" w14:textId="08BC8B33" w:rsidR="00D41158" w:rsidRDefault="00D41158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95.53</w:t>
            </w:r>
            <w:r w:rsidR="009855DB">
              <w:t>0,75</w:t>
            </w:r>
          </w:p>
        </w:tc>
        <w:tc>
          <w:tcPr>
            <w:tcW w:w="1694" w:type="dxa"/>
          </w:tcPr>
          <w:p w14:paraId="0DB56D2B" w14:textId="79CEB072" w:rsid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419AE">
              <w:t>98.618</w:t>
            </w:r>
            <w:r w:rsidR="009855DB">
              <w:t>,47</w:t>
            </w:r>
          </w:p>
        </w:tc>
        <w:tc>
          <w:tcPr>
            <w:tcW w:w="1523" w:type="dxa"/>
          </w:tcPr>
          <w:p w14:paraId="0429C1FF" w14:textId="3E59D56D" w:rsid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48,94</w:t>
            </w:r>
          </w:p>
        </w:tc>
      </w:tr>
      <w:tr w:rsidR="00D41158" w:rsidRPr="00BE457A" w14:paraId="4A53E4F3" w14:textId="77777777" w:rsidTr="00D4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E817B14" w14:textId="44088646" w:rsidR="00D41158" w:rsidRPr="00BE457A" w:rsidRDefault="00D41158" w:rsidP="00D411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Ekstra lako l</w:t>
            </w:r>
            <w:r w:rsidRPr="00BE457A">
              <w:rPr>
                <w:rFonts w:cstheme="minorHAnsi"/>
              </w:rPr>
              <w:t>oživo ulje</w:t>
            </w:r>
          </w:p>
        </w:tc>
        <w:tc>
          <w:tcPr>
            <w:tcW w:w="1509" w:type="dxa"/>
          </w:tcPr>
          <w:p w14:paraId="085B76A6" w14:textId="797B4160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503" w:type="dxa"/>
          </w:tcPr>
          <w:p w14:paraId="37E3839D" w14:textId="6518C9C5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519" w:type="dxa"/>
          </w:tcPr>
          <w:p w14:paraId="2E3CF88D" w14:textId="3CD6F02C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14.066</w:t>
            </w:r>
            <w:r w:rsidR="009855DB">
              <w:t>,12</w:t>
            </w:r>
          </w:p>
        </w:tc>
        <w:tc>
          <w:tcPr>
            <w:tcW w:w="1694" w:type="dxa"/>
          </w:tcPr>
          <w:p w14:paraId="7417FCE1" w14:textId="36DC672C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419AE">
              <w:t>14.066</w:t>
            </w:r>
            <w:r w:rsidR="009855DB">
              <w:t>,12</w:t>
            </w:r>
          </w:p>
        </w:tc>
        <w:tc>
          <w:tcPr>
            <w:tcW w:w="1523" w:type="dxa"/>
          </w:tcPr>
          <w:p w14:paraId="574D44C4" w14:textId="6811EB53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6,98</w:t>
            </w:r>
          </w:p>
        </w:tc>
      </w:tr>
      <w:tr w:rsidR="00792326" w:rsidRPr="00BE457A" w14:paraId="066DE4D6" w14:textId="77777777" w:rsidTr="00D41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45FD4FCE" w14:textId="40F08A88" w:rsidR="00792326" w:rsidRDefault="00792326" w:rsidP="00D411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Ogrjevno drvo</w:t>
            </w:r>
          </w:p>
        </w:tc>
        <w:tc>
          <w:tcPr>
            <w:tcW w:w="1509" w:type="dxa"/>
          </w:tcPr>
          <w:p w14:paraId="21EB6323" w14:textId="7E801486" w:rsidR="00792326" w:rsidRPr="00A419AE" w:rsidRDefault="00792326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503" w:type="dxa"/>
          </w:tcPr>
          <w:p w14:paraId="5E46EC43" w14:textId="12A042B5" w:rsidR="00792326" w:rsidRPr="00A419AE" w:rsidRDefault="00792326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519" w:type="dxa"/>
          </w:tcPr>
          <w:p w14:paraId="61E2A92B" w14:textId="292BCE21" w:rsidR="00792326" w:rsidRPr="00A419AE" w:rsidRDefault="00792326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94" w:type="dxa"/>
          </w:tcPr>
          <w:p w14:paraId="4F80C6DD" w14:textId="108FA08F" w:rsidR="00792326" w:rsidRPr="00A419AE" w:rsidRDefault="00792326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23" w:type="dxa"/>
          </w:tcPr>
          <w:p w14:paraId="1A59E9E0" w14:textId="710F35E2" w:rsidR="00792326" w:rsidRPr="00A419AE" w:rsidRDefault="00792326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792326" w:rsidRPr="00BE457A" w14:paraId="6F6A1438" w14:textId="77777777" w:rsidTr="00D4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63604FC2" w14:textId="5396985C" w:rsidR="00792326" w:rsidRDefault="00792326" w:rsidP="00D411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Solarni paneli</w:t>
            </w:r>
          </w:p>
        </w:tc>
        <w:tc>
          <w:tcPr>
            <w:tcW w:w="1509" w:type="dxa"/>
          </w:tcPr>
          <w:p w14:paraId="00E0BF64" w14:textId="535FF08A" w:rsidR="00792326" w:rsidRPr="00A419AE" w:rsidRDefault="00792326" w:rsidP="00985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503" w:type="dxa"/>
          </w:tcPr>
          <w:p w14:paraId="491B00BF" w14:textId="229BC649" w:rsidR="00792326" w:rsidRPr="00A419AE" w:rsidRDefault="00792326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1519" w:type="dxa"/>
          </w:tcPr>
          <w:p w14:paraId="2BF879AE" w14:textId="4D12A46D" w:rsidR="00792326" w:rsidRPr="00A419AE" w:rsidRDefault="00792326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94" w:type="dxa"/>
          </w:tcPr>
          <w:p w14:paraId="7660C26D" w14:textId="5F3AD57E" w:rsidR="00792326" w:rsidRPr="00A419AE" w:rsidRDefault="00792326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23" w:type="dxa"/>
          </w:tcPr>
          <w:p w14:paraId="790FD4F8" w14:textId="6F1D3230" w:rsidR="00792326" w:rsidRPr="00A419AE" w:rsidRDefault="00792326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D41158" w:rsidRPr="00BE457A" w14:paraId="76E1D05A" w14:textId="77777777" w:rsidTr="00D41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0F831EA3" w14:textId="28512B22" w:rsidR="00D41158" w:rsidRPr="00BE457A" w:rsidRDefault="00D41158" w:rsidP="00D411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UNP</w:t>
            </w:r>
          </w:p>
        </w:tc>
        <w:tc>
          <w:tcPr>
            <w:tcW w:w="1509" w:type="dxa"/>
          </w:tcPr>
          <w:p w14:paraId="343B1D52" w14:textId="3B7172D4" w:rsidR="00D41158" w:rsidRPr="00BE457A" w:rsidRDefault="00D41158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78</w:t>
            </w:r>
            <w:r w:rsidR="009855DB">
              <w:t>5,67</w:t>
            </w:r>
          </w:p>
        </w:tc>
        <w:tc>
          <w:tcPr>
            <w:tcW w:w="1503" w:type="dxa"/>
          </w:tcPr>
          <w:p w14:paraId="5AE09EEA" w14:textId="6A98A481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519" w:type="dxa"/>
          </w:tcPr>
          <w:p w14:paraId="763D65D3" w14:textId="559CAB76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2.441</w:t>
            </w:r>
            <w:r w:rsidR="009855DB">
              <w:t>,38</w:t>
            </w:r>
          </w:p>
        </w:tc>
        <w:tc>
          <w:tcPr>
            <w:tcW w:w="1694" w:type="dxa"/>
          </w:tcPr>
          <w:p w14:paraId="2C78424B" w14:textId="26BA4633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419AE">
              <w:t>3.227</w:t>
            </w:r>
            <w:r w:rsidR="009855DB">
              <w:t>,05</w:t>
            </w:r>
          </w:p>
        </w:tc>
        <w:tc>
          <w:tcPr>
            <w:tcW w:w="1523" w:type="dxa"/>
          </w:tcPr>
          <w:p w14:paraId="1C940DCA" w14:textId="6619E229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1,60</w:t>
            </w:r>
          </w:p>
        </w:tc>
      </w:tr>
      <w:tr w:rsidR="00D41158" w:rsidRPr="00BE457A" w14:paraId="08A8D711" w14:textId="77777777" w:rsidTr="00D4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00301F5" w14:textId="4C0C83CB" w:rsidR="00D41158" w:rsidRPr="00BE457A" w:rsidRDefault="00D41158" w:rsidP="00D411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BE457A">
              <w:rPr>
                <w:rFonts w:cstheme="minorHAnsi"/>
              </w:rPr>
              <w:t>enzin</w:t>
            </w:r>
          </w:p>
        </w:tc>
        <w:tc>
          <w:tcPr>
            <w:tcW w:w="1509" w:type="dxa"/>
          </w:tcPr>
          <w:p w14:paraId="1E6EF82F" w14:textId="0A4F0137" w:rsidR="00D41158" w:rsidRPr="00BE457A" w:rsidRDefault="00D41158" w:rsidP="00985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31.84</w:t>
            </w:r>
            <w:r w:rsidR="009855DB">
              <w:t>3,65</w:t>
            </w:r>
          </w:p>
        </w:tc>
        <w:tc>
          <w:tcPr>
            <w:tcW w:w="1503" w:type="dxa"/>
          </w:tcPr>
          <w:p w14:paraId="2233F74C" w14:textId="066BA77F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519" w:type="dxa"/>
          </w:tcPr>
          <w:p w14:paraId="3EA2D861" w14:textId="4AE7D391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694" w:type="dxa"/>
          </w:tcPr>
          <w:p w14:paraId="0853DCCE" w14:textId="4434D6DA" w:rsidR="00D41158" w:rsidRPr="00BE457A" w:rsidRDefault="00D41158" w:rsidP="00985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419AE">
              <w:t>31.84</w:t>
            </w:r>
            <w:r w:rsidR="009855DB">
              <w:t>3,65</w:t>
            </w:r>
          </w:p>
        </w:tc>
        <w:tc>
          <w:tcPr>
            <w:tcW w:w="1523" w:type="dxa"/>
          </w:tcPr>
          <w:p w14:paraId="144A7CF7" w14:textId="66248EFC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15,80</w:t>
            </w:r>
          </w:p>
        </w:tc>
      </w:tr>
      <w:tr w:rsidR="00D41158" w:rsidRPr="00BE457A" w14:paraId="3AE20372" w14:textId="77777777" w:rsidTr="00D41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3BF8B13" w14:textId="4FB387B9" w:rsidR="00D41158" w:rsidRPr="00BE457A" w:rsidRDefault="00D41158" w:rsidP="00D41158">
            <w:pPr>
              <w:jc w:val="center"/>
              <w:rPr>
                <w:rFonts w:cstheme="minorHAnsi"/>
              </w:rPr>
            </w:pPr>
            <w:r w:rsidRPr="00BE457A">
              <w:rPr>
                <w:rFonts w:cstheme="minorHAnsi"/>
              </w:rPr>
              <w:t>Dizel</w:t>
            </w:r>
          </w:p>
        </w:tc>
        <w:tc>
          <w:tcPr>
            <w:tcW w:w="1509" w:type="dxa"/>
          </w:tcPr>
          <w:p w14:paraId="564717D1" w14:textId="13EE586D" w:rsidR="00D41158" w:rsidRPr="00BE457A" w:rsidRDefault="00D41158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49.72</w:t>
            </w:r>
            <w:r w:rsidR="009855DB">
              <w:t>2,82</w:t>
            </w:r>
          </w:p>
        </w:tc>
        <w:tc>
          <w:tcPr>
            <w:tcW w:w="1503" w:type="dxa"/>
          </w:tcPr>
          <w:p w14:paraId="00698472" w14:textId="50000EE9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519" w:type="dxa"/>
          </w:tcPr>
          <w:p w14:paraId="6B0AC2E2" w14:textId="6184DB1A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694" w:type="dxa"/>
          </w:tcPr>
          <w:p w14:paraId="16E33E28" w14:textId="3A23534B" w:rsidR="00D41158" w:rsidRPr="00BE457A" w:rsidRDefault="00D41158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419AE">
              <w:t>49.72</w:t>
            </w:r>
            <w:r w:rsidR="009855DB">
              <w:t>2,82</w:t>
            </w:r>
          </w:p>
        </w:tc>
        <w:tc>
          <w:tcPr>
            <w:tcW w:w="1523" w:type="dxa"/>
          </w:tcPr>
          <w:p w14:paraId="26D45588" w14:textId="0A032361" w:rsidR="00D41158" w:rsidRPr="00BE457A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24,68</w:t>
            </w:r>
          </w:p>
        </w:tc>
      </w:tr>
      <w:tr w:rsidR="00D41158" w:rsidRPr="00BE457A" w14:paraId="42C4763B" w14:textId="77777777" w:rsidTr="00D4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0DDA7F8" w14:textId="77777777" w:rsidR="00D41158" w:rsidRPr="00BE457A" w:rsidRDefault="00D41158" w:rsidP="00D41158">
            <w:pPr>
              <w:jc w:val="center"/>
              <w:rPr>
                <w:rFonts w:cstheme="minorHAnsi"/>
              </w:rPr>
            </w:pPr>
            <w:r w:rsidRPr="00BE457A">
              <w:rPr>
                <w:rFonts w:cstheme="minorHAnsi"/>
              </w:rPr>
              <w:t>Prirodni plin</w:t>
            </w:r>
          </w:p>
        </w:tc>
        <w:tc>
          <w:tcPr>
            <w:tcW w:w="1509" w:type="dxa"/>
          </w:tcPr>
          <w:p w14:paraId="42819E60" w14:textId="5ADAEFCA" w:rsidR="00D41158" w:rsidRPr="00BE457A" w:rsidRDefault="00066510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/</w:t>
            </w:r>
          </w:p>
        </w:tc>
        <w:tc>
          <w:tcPr>
            <w:tcW w:w="1503" w:type="dxa"/>
          </w:tcPr>
          <w:p w14:paraId="01A59515" w14:textId="7C5C8C17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/</w:t>
            </w:r>
          </w:p>
        </w:tc>
        <w:tc>
          <w:tcPr>
            <w:tcW w:w="1519" w:type="dxa"/>
          </w:tcPr>
          <w:p w14:paraId="4854EFB0" w14:textId="53E5E79D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4.030</w:t>
            </w:r>
            <w:r w:rsidR="009855DB">
              <w:t>,04</w:t>
            </w:r>
          </w:p>
        </w:tc>
        <w:tc>
          <w:tcPr>
            <w:tcW w:w="1694" w:type="dxa"/>
          </w:tcPr>
          <w:p w14:paraId="7D7C2174" w14:textId="6267C0E1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419AE">
              <w:t>4.030</w:t>
            </w:r>
            <w:r w:rsidR="009855DB">
              <w:t>,04</w:t>
            </w:r>
          </w:p>
        </w:tc>
        <w:tc>
          <w:tcPr>
            <w:tcW w:w="1523" w:type="dxa"/>
          </w:tcPr>
          <w:p w14:paraId="1E1C67BD" w14:textId="16E708AD" w:rsidR="00D41158" w:rsidRPr="00BE457A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419AE">
              <w:t>2,00</w:t>
            </w:r>
          </w:p>
        </w:tc>
      </w:tr>
      <w:tr w:rsidR="00D41158" w:rsidRPr="00BE457A" w14:paraId="7FF2E613" w14:textId="77777777" w:rsidTr="00D41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274C6D93" w14:textId="77777777" w:rsidR="00D41158" w:rsidRPr="00BE457A" w:rsidRDefault="00D41158" w:rsidP="00D41158">
            <w:pPr>
              <w:jc w:val="center"/>
              <w:rPr>
                <w:rFonts w:cstheme="minorHAnsi"/>
              </w:rPr>
            </w:pPr>
            <w:r w:rsidRPr="00BE457A">
              <w:rPr>
                <w:rFonts w:cstheme="minorHAnsi"/>
              </w:rPr>
              <w:t>UKUPNO</w:t>
            </w:r>
          </w:p>
        </w:tc>
        <w:tc>
          <w:tcPr>
            <w:tcW w:w="1509" w:type="dxa"/>
          </w:tcPr>
          <w:p w14:paraId="3A1469AF" w14:textId="0BFD7D8F" w:rsidR="00D41158" w:rsidRP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D41158">
              <w:rPr>
                <w:rFonts w:ascii="Calibri" w:hAnsi="Calibri" w:cs="Calibri"/>
                <w:b/>
                <w:color w:val="000000"/>
                <w:szCs w:val="22"/>
              </w:rPr>
              <w:t>82.352</w:t>
            </w:r>
            <w:r w:rsidR="009855DB">
              <w:rPr>
                <w:rFonts w:ascii="Calibri" w:hAnsi="Calibri" w:cs="Calibri"/>
                <w:b/>
                <w:color w:val="000000"/>
                <w:szCs w:val="22"/>
              </w:rPr>
              <w:t>,15</w:t>
            </w:r>
          </w:p>
        </w:tc>
        <w:tc>
          <w:tcPr>
            <w:tcW w:w="1503" w:type="dxa"/>
          </w:tcPr>
          <w:p w14:paraId="3C272AC7" w14:textId="39C2FEFA" w:rsidR="00D41158" w:rsidRPr="00D41158" w:rsidRDefault="00D41158" w:rsidP="00985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 w:rsidRPr="00D41158">
              <w:rPr>
                <w:rFonts w:ascii="Calibri" w:hAnsi="Calibri" w:cs="Calibri"/>
                <w:b/>
                <w:color w:val="000000"/>
                <w:szCs w:val="22"/>
              </w:rPr>
              <w:t>3.08</w:t>
            </w:r>
            <w:r w:rsidR="009855DB">
              <w:rPr>
                <w:rFonts w:ascii="Calibri" w:hAnsi="Calibri" w:cs="Calibri"/>
                <w:b/>
                <w:color w:val="000000"/>
                <w:szCs w:val="22"/>
              </w:rPr>
              <w:t>7,71</w:t>
            </w:r>
          </w:p>
        </w:tc>
        <w:tc>
          <w:tcPr>
            <w:tcW w:w="1519" w:type="dxa"/>
          </w:tcPr>
          <w:p w14:paraId="45A0E3B8" w14:textId="31FDF409" w:rsidR="00D41158" w:rsidRP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D41158">
              <w:rPr>
                <w:rFonts w:ascii="Calibri" w:hAnsi="Calibri" w:cs="Calibri"/>
                <w:b/>
                <w:color w:val="000000"/>
                <w:szCs w:val="22"/>
              </w:rPr>
              <w:t>116.068</w:t>
            </w:r>
            <w:r w:rsidR="009855DB">
              <w:rPr>
                <w:rFonts w:ascii="Calibri" w:hAnsi="Calibri" w:cs="Calibri"/>
                <w:b/>
                <w:color w:val="000000"/>
                <w:szCs w:val="22"/>
              </w:rPr>
              <w:t>,29</w:t>
            </w:r>
          </w:p>
        </w:tc>
        <w:tc>
          <w:tcPr>
            <w:tcW w:w="1694" w:type="dxa"/>
          </w:tcPr>
          <w:p w14:paraId="484CD200" w14:textId="26CDDDFA" w:rsidR="00D41158" w:rsidRP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D41158">
              <w:rPr>
                <w:rFonts w:ascii="Calibri" w:hAnsi="Calibri" w:cs="Calibri"/>
                <w:b/>
                <w:bCs/>
                <w:color w:val="000000"/>
                <w:szCs w:val="22"/>
              </w:rPr>
              <w:t>201.508</w:t>
            </w:r>
            <w:r w:rsidR="009855DB">
              <w:rPr>
                <w:rFonts w:ascii="Calibri" w:hAnsi="Calibri" w:cs="Calibri"/>
                <w:b/>
                <w:bCs/>
                <w:color w:val="000000"/>
                <w:szCs w:val="22"/>
              </w:rPr>
              <w:t>,15</w:t>
            </w:r>
          </w:p>
        </w:tc>
        <w:tc>
          <w:tcPr>
            <w:tcW w:w="1523" w:type="dxa"/>
          </w:tcPr>
          <w:p w14:paraId="462120C4" w14:textId="3F842744" w:rsidR="00D41158" w:rsidRPr="00D41158" w:rsidRDefault="00D41158" w:rsidP="00D41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D41158">
              <w:rPr>
                <w:rFonts w:ascii="Calibri" w:hAnsi="Calibri" w:cs="Calibri"/>
                <w:b/>
                <w:szCs w:val="22"/>
              </w:rPr>
              <w:t>100</w:t>
            </w:r>
          </w:p>
        </w:tc>
      </w:tr>
      <w:tr w:rsidR="00D41158" w:rsidRPr="00B2586A" w14:paraId="16FDE8EE" w14:textId="77777777" w:rsidTr="00D4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2471762B" w14:textId="60840B3F" w:rsidR="00D41158" w:rsidRPr="00BE457A" w:rsidRDefault="00D41158" w:rsidP="00D411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Udio pojedinog sektora</w:t>
            </w:r>
            <w:r w:rsidRPr="00BE457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BE457A">
              <w:rPr>
                <w:rFonts w:cstheme="minorHAnsi"/>
              </w:rPr>
              <w:t>%</w:t>
            </w:r>
            <w:r>
              <w:rPr>
                <w:rFonts w:cstheme="minorHAnsi"/>
              </w:rPr>
              <w:t>)</w:t>
            </w:r>
          </w:p>
        </w:tc>
        <w:tc>
          <w:tcPr>
            <w:tcW w:w="1509" w:type="dxa"/>
          </w:tcPr>
          <w:p w14:paraId="669B2664" w14:textId="77777777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41158">
              <w:rPr>
                <w:rFonts w:ascii="Calibri" w:hAnsi="Calibri" w:cs="Calibri"/>
                <w:b/>
                <w:color w:val="000000"/>
                <w:szCs w:val="22"/>
              </w:rPr>
              <w:t>40,87 %</w:t>
            </w:r>
          </w:p>
          <w:p w14:paraId="2FCF0E7D" w14:textId="4BE335FE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</w:p>
        </w:tc>
        <w:tc>
          <w:tcPr>
            <w:tcW w:w="1503" w:type="dxa"/>
          </w:tcPr>
          <w:p w14:paraId="0CCCC089" w14:textId="77777777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41158">
              <w:rPr>
                <w:rFonts w:ascii="Calibri" w:hAnsi="Calibri" w:cs="Calibri"/>
                <w:b/>
                <w:color w:val="000000"/>
                <w:szCs w:val="22"/>
              </w:rPr>
              <w:t>1,53 %</w:t>
            </w:r>
          </w:p>
          <w:p w14:paraId="356B9419" w14:textId="691CB15A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</w:p>
        </w:tc>
        <w:tc>
          <w:tcPr>
            <w:tcW w:w="1519" w:type="dxa"/>
          </w:tcPr>
          <w:p w14:paraId="5BE62C20" w14:textId="77777777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41158">
              <w:rPr>
                <w:rFonts w:ascii="Calibri" w:hAnsi="Calibri" w:cs="Calibri"/>
                <w:b/>
                <w:color w:val="000000"/>
                <w:szCs w:val="22"/>
              </w:rPr>
              <w:t>57,60 %</w:t>
            </w:r>
          </w:p>
          <w:p w14:paraId="7B1D4FE1" w14:textId="2602FE65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</w:p>
        </w:tc>
        <w:tc>
          <w:tcPr>
            <w:tcW w:w="1694" w:type="dxa"/>
          </w:tcPr>
          <w:p w14:paraId="2E8E71E9" w14:textId="7BF78458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D41158">
              <w:rPr>
                <w:rFonts w:ascii="Calibri" w:hAnsi="Calibri" w:cs="Calibri"/>
                <w:b/>
                <w:szCs w:val="22"/>
              </w:rPr>
              <w:t>100 %</w:t>
            </w:r>
          </w:p>
        </w:tc>
        <w:tc>
          <w:tcPr>
            <w:tcW w:w="1523" w:type="dxa"/>
          </w:tcPr>
          <w:p w14:paraId="29B4C532" w14:textId="619D1BA1" w:rsidR="00D41158" w:rsidRPr="00D41158" w:rsidRDefault="00D41158" w:rsidP="00D4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</w:p>
        </w:tc>
      </w:tr>
    </w:tbl>
    <w:p w14:paraId="25DDBD2B" w14:textId="77777777" w:rsidR="00C83D0B" w:rsidRPr="00B2586A" w:rsidRDefault="00C83D0B" w:rsidP="00C83D0B">
      <w:pPr>
        <w:rPr>
          <w:rFonts w:ascii="Calibri" w:eastAsia="Calibri" w:hAnsi="Calibri" w:cs="Calibri"/>
          <w:highlight w:val="yellow"/>
        </w:rPr>
      </w:pPr>
    </w:p>
    <w:p w14:paraId="46AED1C5" w14:textId="4A6946A7" w:rsidR="00C83D0B" w:rsidRPr="00B2586A" w:rsidRDefault="00D145C1" w:rsidP="00C64964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  <w:highlight w:val="yellow"/>
          <w:lang w:eastAsia="hr-HR"/>
        </w:rPr>
        <w:lastRenderedPageBreak/>
        <w:drawing>
          <wp:inline distT="0" distB="0" distL="0" distR="0" wp14:anchorId="3B9762EE" wp14:editId="4EC082DD">
            <wp:extent cx="4919980" cy="42919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2406B" w14:textId="2C38C2EB" w:rsidR="00C83D0B" w:rsidRDefault="00C83D0B" w:rsidP="00535DE0">
      <w:pPr>
        <w:pStyle w:val="Opisslike"/>
      </w:pPr>
      <w:r w:rsidRPr="00047D4B">
        <w:t xml:space="preserve">Slika </w:t>
      </w:r>
      <w:r w:rsidR="003F58D6">
        <w:rPr>
          <w:noProof/>
        </w:rPr>
        <w:fldChar w:fldCharType="begin"/>
      </w:r>
      <w:r w:rsidR="003F58D6">
        <w:rPr>
          <w:noProof/>
        </w:rPr>
        <w:instrText xml:space="preserve"> SEQ Slika \* ARABIC </w:instrText>
      </w:r>
      <w:r w:rsidR="003F58D6">
        <w:rPr>
          <w:noProof/>
        </w:rPr>
        <w:fldChar w:fldCharType="separate"/>
      </w:r>
      <w:r w:rsidR="00106A79">
        <w:rPr>
          <w:noProof/>
        </w:rPr>
        <w:t>11</w:t>
      </w:r>
      <w:r w:rsidR="003F58D6">
        <w:rPr>
          <w:noProof/>
        </w:rPr>
        <w:fldChar w:fldCharType="end"/>
      </w:r>
      <w:r w:rsidR="00B9440B" w:rsidRPr="00047D4B">
        <w:rPr>
          <w:rStyle w:val="Neupadljivoisticanje"/>
          <w:i w:val="0"/>
          <w:iCs/>
          <w:color w:val="auto"/>
        </w:rPr>
        <w:t>:</w:t>
      </w:r>
      <w:r w:rsidRPr="00047D4B">
        <w:rPr>
          <w:rStyle w:val="Neupadljivoisticanje"/>
          <w:i w:val="0"/>
          <w:iCs/>
          <w:color w:val="auto"/>
        </w:rPr>
        <w:t xml:space="preserve"> </w:t>
      </w:r>
      <w:r w:rsidR="003D339E" w:rsidRPr="00462986">
        <w:t>Emisije CO</w:t>
      </w:r>
      <w:r w:rsidR="003D339E" w:rsidRPr="00462986">
        <w:rPr>
          <w:vertAlign w:val="subscript"/>
        </w:rPr>
        <w:t>2</w:t>
      </w:r>
      <w:r w:rsidR="003D339E" w:rsidRPr="00462986">
        <w:t xml:space="preserve"> </w:t>
      </w:r>
      <w:r w:rsidR="003D339E">
        <w:t>Kontrolnog inventara po energentima</w:t>
      </w:r>
    </w:p>
    <w:p w14:paraId="43B0DA48" w14:textId="72B2D17F" w:rsidR="00106A79" w:rsidRDefault="00106A79" w:rsidP="00106A79"/>
    <w:p w14:paraId="511BF111" w14:textId="3BA92AB1" w:rsidR="00106A79" w:rsidRDefault="004A53D3" w:rsidP="00C64964">
      <w:pPr>
        <w:jc w:val="center"/>
      </w:pPr>
      <w:r>
        <w:rPr>
          <w:noProof/>
          <w:lang w:eastAsia="hr-HR"/>
        </w:rPr>
        <w:drawing>
          <wp:inline distT="0" distB="0" distL="0" distR="0" wp14:anchorId="52BB2AD3" wp14:editId="24DCD563">
            <wp:extent cx="5049285" cy="30880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981" cy="309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A9528" w14:textId="03DD15B8" w:rsidR="00D145C1" w:rsidRDefault="00106A79" w:rsidP="00535DE0">
      <w:pPr>
        <w:pStyle w:val="Opisslike"/>
      </w:pPr>
      <w:r>
        <w:t xml:space="preserve">Slika </w:t>
      </w:r>
      <w:r w:rsidR="00F03229">
        <w:rPr>
          <w:noProof/>
        </w:rPr>
        <w:fldChar w:fldCharType="begin"/>
      </w:r>
      <w:r w:rsidR="00F03229">
        <w:rPr>
          <w:noProof/>
        </w:rPr>
        <w:instrText xml:space="preserve"> SEQ Slika \* ARABIC </w:instrText>
      </w:r>
      <w:r w:rsidR="00F03229">
        <w:rPr>
          <w:noProof/>
        </w:rPr>
        <w:fldChar w:fldCharType="separate"/>
      </w:r>
      <w:r>
        <w:rPr>
          <w:noProof/>
        </w:rPr>
        <w:t>12</w:t>
      </w:r>
      <w:r w:rsidR="00F03229">
        <w:rPr>
          <w:noProof/>
        </w:rPr>
        <w:fldChar w:fldCharType="end"/>
      </w:r>
      <w:r>
        <w:t xml:space="preserve"> </w:t>
      </w:r>
      <w:r w:rsidRPr="00462986">
        <w:t>Emisije CO</w:t>
      </w:r>
      <w:r w:rsidRPr="00462986">
        <w:rPr>
          <w:vertAlign w:val="subscript"/>
        </w:rPr>
        <w:t>2</w:t>
      </w:r>
      <w:r w:rsidRPr="00462986">
        <w:t xml:space="preserve"> </w:t>
      </w:r>
      <w:r>
        <w:t>Kontrolnog</w:t>
      </w:r>
      <w:r w:rsidRPr="00462986">
        <w:t xml:space="preserve"> inventara po sektorima</w:t>
      </w:r>
    </w:p>
    <w:p w14:paraId="5396F422" w14:textId="77777777" w:rsidR="00D145C1" w:rsidRDefault="00D145C1">
      <w:pPr>
        <w:spacing w:after="0"/>
        <w:jc w:val="left"/>
        <w:rPr>
          <w:rFonts w:eastAsiaTheme="minorHAnsi"/>
          <w:b/>
          <w:iCs/>
          <w:sz w:val="20"/>
          <w:szCs w:val="18"/>
        </w:rPr>
      </w:pPr>
      <w:r>
        <w:br w:type="page"/>
      </w:r>
    </w:p>
    <w:p w14:paraId="48B932C2" w14:textId="77777777" w:rsidR="00106A79" w:rsidRPr="00106A79" w:rsidRDefault="00106A79" w:rsidP="00535DE0">
      <w:pPr>
        <w:pStyle w:val="Opisslike"/>
      </w:pPr>
    </w:p>
    <w:p w14:paraId="74D12405" w14:textId="77777777" w:rsidR="00C83D0B" w:rsidRPr="00047D4B" w:rsidRDefault="00C83D0B" w:rsidP="00E326D8">
      <w:pPr>
        <w:pStyle w:val="Naslov1"/>
        <w:rPr>
          <w:rFonts w:eastAsia="Calibri"/>
        </w:rPr>
      </w:pPr>
      <w:r w:rsidRPr="00047D4B">
        <w:rPr>
          <w:rFonts w:eastAsia="Calibri"/>
        </w:rPr>
        <w:t>Zaključak</w:t>
      </w:r>
    </w:p>
    <w:p w14:paraId="1D7F7620" w14:textId="77777777" w:rsidR="00FC33F7" w:rsidRPr="00B2586A" w:rsidRDefault="00FC33F7" w:rsidP="00C83D0B">
      <w:pPr>
        <w:rPr>
          <w:rFonts w:ascii="Calibri" w:eastAsia="Calibri" w:hAnsi="Calibri" w:cs="Calibri"/>
          <w:szCs w:val="22"/>
          <w:highlight w:val="yellow"/>
        </w:rPr>
      </w:pPr>
    </w:p>
    <w:p w14:paraId="23692B47" w14:textId="45151573" w:rsidR="00FC33F7" w:rsidRPr="0083565A" w:rsidRDefault="00B06509" w:rsidP="00C83D0B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Bazni</w:t>
      </w:r>
      <w:r w:rsidRPr="0083565A">
        <w:rPr>
          <w:rFonts w:ascii="Calibri" w:eastAsia="Calibri" w:hAnsi="Calibri" w:cs="Calibri"/>
          <w:szCs w:val="22"/>
        </w:rPr>
        <w:t xml:space="preserve"> </w:t>
      </w:r>
      <w:r w:rsidR="00FC33F7" w:rsidRPr="0083565A">
        <w:rPr>
          <w:rFonts w:ascii="Calibri" w:eastAsia="Calibri" w:hAnsi="Calibri" w:cs="Calibri"/>
          <w:szCs w:val="22"/>
        </w:rPr>
        <w:t xml:space="preserve">inventar emisija (BEI) skup je podataka o emisijama stakleničkih plinova na određenom području, a računa se prema IPCC metodologiji s ulaznim podacima: potrošnja energije u odabranim sektorima i emisijski faktori za pojedine energente. </w:t>
      </w:r>
      <w:r w:rsidR="001C45C2">
        <w:rPr>
          <w:rFonts w:ascii="Calibri" w:eastAsia="Calibri" w:hAnsi="Calibri" w:cs="Calibri"/>
          <w:szCs w:val="22"/>
        </w:rPr>
        <w:t>Bazna</w:t>
      </w:r>
      <w:r w:rsidR="001C45C2" w:rsidRPr="0083565A">
        <w:rPr>
          <w:rFonts w:ascii="Calibri" w:eastAsia="Calibri" w:hAnsi="Calibri" w:cs="Calibri"/>
          <w:szCs w:val="22"/>
        </w:rPr>
        <w:t xml:space="preserve"> </w:t>
      </w:r>
      <w:r w:rsidR="00FC33F7" w:rsidRPr="0083565A">
        <w:rPr>
          <w:rFonts w:ascii="Calibri" w:eastAsia="Calibri" w:hAnsi="Calibri" w:cs="Calibri"/>
          <w:szCs w:val="22"/>
        </w:rPr>
        <w:t>godina za podatke o potrošnji energije</w:t>
      </w:r>
      <w:r w:rsidR="0083565A">
        <w:rPr>
          <w:rFonts w:ascii="Calibri" w:eastAsia="Calibri" w:hAnsi="Calibri" w:cs="Calibri"/>
          <w:szCs w:val="22"/>
        </w:rPr>
        <w:t xml:space="preserve"> za</w:t>
      </w:r>
      <w:r w:rsidR="001C45C2">
        <w:rPr>
          <w:rFonts w:ascii="Calibri" w:eastAsia="Calibri" w:hAnsi="Calibri" w:cs="Calibri"/>
          <w:szCs w:val="22"/>
        </w:rPr>
        <w:t xml:space="preserve"> administrativno područje G</w:t>
      </w:r>
      <w:r w:rsidR="0083565A">
        <w:rPr>
          <w:rFonts w:ascii="Calibri" w:eastAsia="Calibri" w:hAnsi="Calibri" w:cs="Calibri"/>
          <w:szCs w:val="22"/>
        </w:rPr>
        <w:t>rad</w:t>
      </w:r>
      <w:r w:rsidR="001C45C2">
        <w:rPr>
          <w:rFonts w:ascii="Calibri" w:eastAsia="Calibri" w:hAnsi="Calibri" w:cs="Calibri"/>
          <w:szCs w:val="22"/>
        </w:rPr>
        <w:t>a</w:t>
      </w:r>
      <w:r w:rsidR="0083565A">
        <w:rPr>
          <w:rFonts w:ascii="Calibri" w:eastAsia="Calibri" w:hAnsi="Calibri" w:cs="Calibri"/>
          <w:szCs w:val="22"/>
        </w:rPr>
        <w:t xml:space="preserve"> Zadr</w:t>
      </w:r>
      <w:r w:rsidR="001C45C2">
        <w:rPr>
          <w:rFonts w:ascii="Calibri" w:eastAsia="Calibri" w:hAnsi="Calibri" w:cs="Calibri"/>
          <w:szCs w:val="22"/>
        </w:rPr>
        <w:t>a</w:t>
      </w:r>
      <w:r w:rsidR="00FC33F7" w:rsidRPr="0083565A">
        <w:rPr>
          <w:rFonts w:ascii="Calibri" w:eastAsia="Calibri" w:hAnsi="Calibri" w:cs="Calibri"/>
          <w:szCs w:val="22"/>
        </w:rPr>
        <w:t xml:space="preserve"> je 20</w:t>
      </w:r>
      <w:r w:rsidR="0083565A" w:rsidRPr="0083565A">
        <w:rPr>
          <w:rFonts w:ascii="Calibri" w:eastAsia="Calibri" w:hAnsi="Calibri" w:cs="Calibri"/>
          <w:szCs w:val="22"/>
        </w:rPr>
        <w:t>10</w:t>
      </w:r>
      <w:r w:rsidR="00FC33F7" w:rsidRPr="0083565A">
        <w:rPr>
          <w:rFonts w:ascii="Calibri" w:eastAsia="Calibri" w:hAnsi="Calibri" w:cs="Calibri"/>
          <w:szCs w:val="22"/>
        </w:rPr>
        <w:t xml:space="preserve">. godina, odabrana prema kriteriju raspoloživosti i pouzdanosti podataka. </w:t>
      </w:r>
    </w:p>
    <w:p w14:paraId="28AB96C7" w14:textId="24CDA6DD" w:rsidR="00260A66" w:rsidRPr="0083565A" w:rsidRDefault="00260A66" w:rsidP="00C83D0B">
      <w:pPr>
        <w:rPr>
          <w:rFonts w:ascii="Calibri" w:eastAsia="Calibri" w:hAnsi="Calibri" w:cs="Calibri"/>
          <w:szCs w:val="22"/>
        </w:rPr>
      </w:pPr>
      <w:r w:rsidRPr="0083565A">
        <w:rPr>
          <w:rFonts w:ascii="Calibri" w:eastAsia="Calibri" w:hAnsi="Calibri" w:cs="Calibri"/>
          <w:szCs w:val="22"/>
        </w:rPr>
        <w:t xml:space="preserve">Kontrolni inventar emisija (MEI) izrađuje se po preporuci svake </w:t>
      </w:r>
      <w:r w:rsidR="001C45C2">
        <w:rPr>
          <w:rFonts w:ascii="Calibri" w:eastAsia="Calibri" w:hAnsi="Calibri" w:cs="Calibri"/>
          <w:szCs w:val="22"/>
        </w:rPr>
        <w:t>4</w:t>
      </w:r>
      <w:r w:rsidRPr="0083565A">
        <w:rPr>
          <w:rFonts w:ascii="Calibri" w:eastAsia="Calibri" w:hAnsi="Calibri" w:cs="Calibri"/>
          <w:szCs w:val="22"/>
        </w:rPr>
        <w:t xml:space="preserve"> godine, istom metodologijom kao i BEI, a služi za usporedbu te analizu trendova povećanja ili smanjenja emisija, ukupno ili u određenim sektorima. MEI se izrađuje </w:t>
      </w:r>
      <w:r w:rsidR="00E55FC6" w:rsidRPr="0083565A">
        <w:rPr>
          <w:rFonts w:ascii="Calibri" w:eastAsia="Calibri" w:hAnsi="Calibri" w:cs="Calibri"/>
          <w:szCs w:val="22"/>
        </w:rPr>
        <w:t xml:space="preserve">i </w:t>
      </w:r>
      <w:r w:rsidRPr="0083565A">
        <w:rPr>
          <w:rFonts w:ascii="Calibri" w:eastAsia="Calibri" w:hAnsi="Calibri" w:cs="Calibri"/>
          <w:szCs w:val="22"/>
        </w:rPr>
        <w:t>za odab</w:t>
      </w:r>
      <w:r w:rsidR="0083565A" w:rsidRPr="0083565A">
        <w:rPr>
          <w:rFonts w:ascii="Calibri" w:eastAsia="Calibri" w:hAnsi="Calibri" w:cs="Calibri"/>
          <w:szCs w:val="22"/>
        </w:rPr>
        <w:t>ranu godinu, u ovom slučaju 2017</w:t>
      </w:r>
      <w:r w:rsidR="00E54037">
        <w:rPr>
          <w:rFonts w:ascii="Calibri" w:eastAsia="Calibri" w:hAnsi="Calibri" w:cs="Calibri"/>
          <w:szCs w:val="22"/>
        </w:rPr>
        <w:t>.</w:t>
      </w:r>
      <w:r w:rsidR="00E4479D">
        <w:rPr>
          <w:rFonts w:ascii="Calibri" w:eastAsia="Calibri" w:hAnsi="Calibri" w:cs="Calibri"/>
          <w:szCs w:val="22"/>
        </w:rPr>
        <w:t>.</w:t>
      </w:r>
      <w:r w:rsidRPr="0083565A">
        <w:rPr>
          <w:rFonts w:ascii="Calibri" w:eastAsia="Calibri" w:hAnsi="Calibri" w:cs="Calibri"/>
          <w:szCs w:val="22"/>
        </w:rPr>
        <w:t xml:space="preserve"> </w:t>
      </w:r>
    </w:p>
    <w:p w14:paraId="572F77D7" w14:textId="4BE69771" w:rsidR="00FC33F7" w:rsidRPr="0083565A" w:rsidRDefault="00FC33F7" w:rsidP="00C83D0B">
      <w:pPr>
        <w:rPr>
          <w:rFonts w:ascii="Calibri" w:eastAsia="Calibri" w:hAnsi="Calibri" w:cs="Calibri"/>
          <w:szCs w:val="22"/>
        </w:rPr>
      </w:pPr>
      <w:r w:rsidRPr="0083565A">
        <w:rPr>
          <w:rFonts w:ascii="Calibri" w:eastAsia="Calibri" w:hAnsi="Calibri" w:cs="Calibri"/>
          <w:szCs w:val="22"/>
        </w:rPr>
        <w:t xml:space="preserve">BEI </w:t>
      </w:r>
      <w:r w:rsidR="001C45C2">
        <w:rPr>
          <w:rFonts w:ascii="Calibri" w:eastAsia="Calibri" w:hAnsi="Calibri" w:cs="Calibri"/>
          <w:szCs w:val="22"/>
        </w:rPr>
        <w:t>G</w:t>
      </w:r>
      <w:r w:rsidRPr="0083565A">
        <w:rPr>
          <w:rFonts w:ascii="Calibri" w:eastAsia="Calibri" w:hAnsi="Calibri" w:cs="Calibri"/>
          <w:szCs w:val="22"/>
        </w:rPr>
        <w:t xml:space="preserve">rada </w:t>
      </w:r>
      <w:r w:rsidR="0083565A" w:rsidRPr="0083565A">
        <w:rPr>
          <w:rFonts w:ascii="Calibri" w:eastAsia="Calibri" w:hAnsi="Calibri" w:cs="Calibri"/>
          <w:szCs w:val="22"/>
        </w:rPr>
        <w:t>Zadra</w:t>
      </w:r>
      <w:r w:rsidRPr="0083565A">
        <w:rPr>
          <w:rFonts w:ascii="Calibri" w:eastAsia="Calibri" w:hAnsi="Calibri" w:cs="Calibri"/>
          <w:szCs w:val="22"/>
        </w:rPr>
        <w:t xml:space="preserve"> je obuhvatio izravne (izgaranje goriva) i ne</w:t>
      </w:r>
      <w:r w:rsidR="00A3147A">
        <w:rPr>
          <w:rFonts w:ascii="Calibri" w:eastAsia="Calibri" w:hAnsi="Calibri" w:cs="Calibri"/>
          <w:szCs w:val="22"/>
        </w:rPr>
        <w:t>izravne</w:t>
      </w:r>
      <w:r w:rsidR="0097171E">
        <w:rPr>
          <w:rFonts w:ascii="Calibri" w:eastAsia="Calibri" w:hAnsi="Calibri" w:cs="Calibri"/>
          <w:szCs w:val="22"/>
        </w:rPr>
        <w:t xml:space="preserve"> (potrošnja električne energije</w:t>
      </w:r>
      <w:r w:rsidRPr="0083565A">
        <w:rPr>
          <w:rFonts w:ascii="Calibri" w:eastAsia="Calibri" w:hAnsi="Calibri" w:cs="Calibri"/>
          <w:szCs w:val="22"/>
        </w:rPr>
        <w:t>) emisije CO</w:t>
      </w:r>
      <w:r w:rsidRPr="0083565A">
        <w:rPr>
          <w:rFonts w:ascii="Calibri" w:eastAsia="Calibri" w:hAnsi="Calibri" w:cs="Calibri"/>
          <w:szCs w:val="22"/>
          <w:vertAlign w:val="subscript"/>
        </w:rPr>
        <w:t>2</w:t>
      </w:r>
      <w:r w:rsidRPr="0083565A">
        <w:rPr>
          <w:rFonts w:ascii="Calibri" w:eastAsia="Calibri" w:hAnsi="Calibri" w:cs="Calibri"/>
          <w:szCs w:val="22"/>
        </w:rPr>
        <w:t xml:space="preserve"> tri sektor</w:t>
      </w:r>
      <w:r w:rsidR="00260A66" w:rsidRPr="0083565A">
        <w:rPr>
          <w:rFonts w:ascii="Calibri" w:eastAsia="Calibri" w:hAnsi="Calibri" w:cs="Calibri"/>
          <w:szCs w:val="22"/>
        </w:rPr>
        <w:t xml:space="preserve">a finalne potrošnje energije </w:t>
      </w:r>
      <w:r w:rsidR="001C45C2">
        <w:rPr>
          <w:rFonts w:ascii="Calibri" w:eastAsia="Calibri" w:hAnsi="Calibri" w:cs="Calibri"/>
          <w:szCs w:val="22"/>
        </w:rPr>
        <w:t>na administrativnom području G</w:t>
      </w:r>
      <w:r w:rsidRPr="0083565A">
        <w:rPr>
          <w:rFonts w:ascii="Calibri" w:eastAsia="Calibri" w:hAnsi="Calibri" w:cs="Calibri"/>
          <w:szCs w:val="22"/>
        </w:rPr>
        <w:t>rad</w:t>
      </w:r>
      <w:r w:rsidR="001C45C2">
        <w:rPr>
          <w:rFonts w:ascii="Calibri" w:eastAsia="Calibri" w:hAnsi="Calibri" w:cs="Calibri"/>
          <w:szCs w:val="22"/>
        </w:rPr>
        <w:t>a Zadra</w:t>
      </w:r>
      <w:r w:rsidRPr="0083565A">
        <w:rPr>
          <w:rFonts w:ascii="Calibri" w:eastAsia="Calibri" w:hAnsi="Calibri" w:cs="Calibri"/>
          <w:szCs w:val="22"/>
        </w:rPr>
        <w:t>: zgradarstvo, promet i javn</w:t>
      </w:r>
      <w:r w:rsidR="0097582A" w:rsidRPr="0083565A">
        <w:rPr>
          <w:rFonts w:ascii="Calibri" w:eastAsia="Calibri" w:hAnsi="Calibri" w:cs="Calibri"/>
          <w:szCs w:val="22"/>
        </w:rPr>
        <w:t>a</w:t>
      </w:r>
      <w:r w:rsidRPr="0083565A">
        <w:rPr>
          <w:rFonts w:ascii="Calibri" w:eastAsia="Calibri" w:hAnsi="Calibri" w:cs="Calibri"/>
          <w:szCs w:val="22"/>
        </w:rPr>
        <w:t xml:space="preserve"> rasvjet</w:t>
      </w:r>
      <w:r w:rsidR="0097582A" w:rsidRPr="0083565A">
        <w:rPr>
          <w:rFonts w:ascii="Calibri" w:eastAsia="Calibri" w:hAnsi="Calibri" w:cs="Calibri"/>
          <w:szCs w:val="22"/>
        </w:rPr>
        <w:t>a</w:t>
      </w:r>
      <w:r w:rsidRPr="0083565A">
        <w:rPr>
          <w:rFonts w:ascii="Calibri" w:eastAsia="Calibri" w:hAnsi="Calibri" w:cs="Calibri"/>
          <w:szCs w:val="22"/>
        </w:rPr>
        <w:t>. Ukupna emisija CO</w:t>
      </w:r>
      <w:r w:rsidRPr="0083565A">
        <w:rPr>
          <w:rFonts w:ascii="Calibri" w:eastAsia="Calibri" w:hAnsi="Calibri" w:cs="Calibri"/>
          <w:szCs w:val="22"/>
          <w:vertAlign w:val="subscript"/>
        </w:rPr>
        <w:t>2</w:t>
      </w:r>
      <w:r w:rsidR="00260A66" w:rsidRPr="0083565A">
        <w:rPr>
          <w:rFonts w:ascii="Calibri" w:eastAsia="Calibri" w:hAnsi="Calibri" w:cs="Calibri"/>
          <w:szCs w:val="22"/>
        </w:rPr>
        <w:t xml:space="preserve"> iz promatranih sektora </w:t>
      </w:r>
      <w:r w:rsidR="001C45C2">
        <w:rPr>
          <w:rFonts w:ascii="Calibri" w:eastAsia="Calibri" w:hAnsi="Calibri" w:cs="Calibri"/>
          <w:szCs w:val="22"/>
        </w:rPr>
        <w:t>na administrativnom području G</w:t>
      </w:r>
      <w:r w:rsidRPr="0083565A">
        <w:rPr>
          <w:rFonts w:ascii="Calibri" w:eastAsia="Calibri" w:hAnsi="Calibri" w:cs="Calibri"/>
          <w:szCs w:val="22"/>
        </w:rPr>
        <w:t>rad</w:t>
      </w:r>
      <w:r w:rsidR="001C45C2">
        <w:rPr>
          <w:rFonts w:ascii="Calibri" w:eastAsia="Calibri" w:hAnsi="Calibri" w:cs="Calibri"/>
          <w:szCs w:val="22"/>
        </w:rPr>
        <w:t>a</w:t>
      </w:r>
      <w:r w:rsidRPr="0083565A">
        <w:rPr>
          <w:rFonts w:ascii="Calibri" w:eastAsia="Calibri" w:hAnsi="Calibri" w:cs="Calibri"/>
          <w:szCs w:val="22"/>
        </w:rPr>
        <w:t xml:space="preserve"> </w:t>
      </w:r>
      <w:r w:rsidR="0083565A" w:rsidRPr="0083565A">
        <w:rPr>
          <w:rFonts w:ascii="Calibri" w:eastAsia="Calibri" w:hAnsi="Calibri" w:cs="Calibri"/>
          <w:szCs w:val="22"/>
        </w:rPr>
        <w:t>Zadr</w:t>
      </w:r>
      <w:r w:rsidR="001C45C2">
        <w:rPr>
          <w:rFonts w:ascii="Calibri" w:eastAsia="Calibri" w:hAnsi="Calibri" w:cs="Calibri"/>
          <w:szCs w:val="22"/>
        </w:rPr>
        <w:t>a</w:t>
      </w:r>
      <w:r w:rsidRPr="0083565A">
        <w:rPr>
          <w:rFonts w:ascii="Calibri" w:eastAsia="Calibri" w:hAnsi="Calibri" w:cs="Calibri"/>
          <w:szCs w:val="22"/>
        </w:rPr>
        <w:t xml:space="preserve"> iznosila je </w:t>
      </w:r>
      <w:r w:rsidR="0083565A" w:rsidRPr="0083565A">
        <w:rPr>
          <w:rFonts w:ascii="Calibri" w:eastAsia="Calibri" w:hAnsi="Calibri" w:cs="Calibri"/>
          <w:szCs w:val="22"/>
        </w:rPr>
        <w:t>248</w:t>
      </w:r>
      <w:r w:rsidR="001C45C2">
        <w:rPr>
          <w:rFonts w:ascii="Calibri" w:eastAsia="Calibri" w:hAnsi="Calibri" w:cs="Calibri"/>
          <w:szCs w:val="22"/>
        </w:rPr>
        <w:t>.</w:t>
      </w:r>
      <w:r w:rsidR="008674C7">
        <w:rPr>
          <w:rFonts w:ascii="Calibri" w:eastAsia="Calibri" w:hAnsi="Calibri" w:cs="Calibri"/>
          <w:szCs w:val="22"/>
        </w:rPr>
        <w:t>72</w:t>
      </w:r>
      <w:r w:rsidR="00901298">
        <w:rPr>
          <w:rFonts w:ascii="Calibri" w:eastAsia="Calibri" w:hAnsi="Calibri" w:cs="Calibri"/>
          <w:szCs w:val="22"/>
        </w:rPr>
        <w:t>2</w:t>
      </w:r>
      <w:r w:rsidR="001C45C2">
        <w:rPr>
          <w:rFonts w:ascii="Calibri" w:eastAsia="Calibri" w:hAnsi="Calibri" w:cs="Calibri"/>
          <w:szCs w:val="22"/>
        </w:rPr>
        <w:t xml:space="preserve"> </w:t>
      </w:r>
      <w:r w:rsidRPr="0083565A">
        <w:rPr>
          <w:rFonts w:ascii="Calibri" w:eastAsia="Calibri" w:hAnsi="Calibri" w:cs="Calibri"/>
          <w:szCs w:val="22"/>
        </w:rPr>
        <w:t>t CO</w:t>
      </w:r>
      <w:r w:rsidRPr="0083565A">
        <w:rPr>
          <w:rFonts w:ascii="Calibri" w:eastAsia="Calibri" w:hAnsi="Calibri" w:cs="Calibri"/>
          <w:szCs w:val="22"/>
          <w:vertAlign w:val="subscript"/>
        </w:rPr>
        <w:t>2</w:t>
      </w:r>
      <w:r w:rsidR="0083565A" w:rsidRPr="0083565A">
        <w:rPr>
          <w:rFonts w:ascii="Calibri" w:eastAsia="Calibri" w:hAnsi="Calibri" w:cs="Calibri"/>
          <w:szCs w:val="22"/>
        </w:rPr>
        <w:t xml:space="preserve"> u 2010</w:t>
      </w:r>
      <w:r w:rsidR="00E55FC6" w:rsidRPr="0083565A">
        <w:rPr>
          <w:rFonts w:ascii="Calibri" w:eastAsia="Calibri" w:hAnsi="Calibri" w:cs="Calibri"/>
          <w:szCs w:val="22"/>
        </w:rPr>
        <w:t>. godini.</w:t>
      </w:r>
      <w:r w:rsidRPr="0083565A">
        <w:rPr>
          <w:rFonts w:ascii="Calibri" w:eastAsia="Calibri" w:hAnsi="Calibri" w:cs="Calibri"/>
          <w:szCs w:val="22"/>
        </w:rPr>
        <w:t xml:space="preserve"> </w:t>
      </w:r>
    </w:p>
    <w:p w14:paraId="2A8A3115" w14:textId="00873DE3" w:rsidR="00FC33F7" w:rsidRPr="0083565A" w:rsidRDefault="00731D71" w:rsidP="00C83D0B">
      <w:pPr>
        <w:rPr>
          <w:rFonts w:ascii="Calibri" w:eastAsia="Calibri" w:hAnsi="Calibri" w:cs="Calibri"/>
          <w:szCs w:val="22"/>
        </w:rPr>
      </w:pPr>
      <w:r w:rsidRPr="0083565A">
        <w:rPr>
          <w:rFonts w:ascii="Calibri" w:eastAsia="Calibri" w:hAnsi="Calibri" w:cs="Calibri"/>
          <w:szCs w:val="22"/>
        </w:rPr>
        <w:t xml:space="preserve">Prema grafikonu na </w:t>
      </w:r>
      <w:r w:rsidR="001C45C2">
        <w:rPr>
          <w:rFonts w:ascii="Calibri" w:eastAsia="Calibri" w:hAnsi="Calibri" w:cs="Calibri"/>
          <w:szCs w:val="22"/>
        </w:rPr>
        <w:t>S</w:t>
      </w:r>
      <w:r w:rsidR="00D579ED">
        <w:rPr>
          <w:rFonts w:ascii="Calibri" w:eastAsia="Calibri" w:hAnsi="Calibri" w:cs="Calibri"/>
          <w:szCs w:val="22"/>
        </w:rPr>
        <w:t>lici 13</w:t>
      </w:r>
      <w:r w:rsidRPr="0083565A">
        <w:rPr>
          <w:rFonts w:ascii="Calibri" w:eastAsia="Calibri" w:hAnsi="Calibri" w:cs="Calibri"/>
          <w:szCs w:val="22"/>
        </w:rPr>
        <w:t xml:space="preserve"> vidljiv</w:t>
      </w:r>
      <w:r w:rsidR="00260A66" w:rsidRPr="0083565A">
        <w:rPr>
          <w:rFonts w:ascii="Calibri" w:eastAsia="Calibri" w:hAnsi="Calibri" w:cs="Calibri"/>
          <w:szCs w:val="22"/>
        </w:rPr>
        <w:t>o</w:t>
      </w:r>
      <w:r w:rsidRPr="0083565A">
        <w:rPr>
          <w:rFonts w:ascii="Calibri" w:eastAsia="Calibri" w:hAnsi="Calibri" w:cs="Calibri"/>
          <w:szCs w:val="22"/>
        </w:rPr>
        <w:t xml:space="preserve"> je smanjen</w:t>
      </w:r>
      <w:r w:rsidR="00260A66" w:rsidRPr="0083565A">
        <w:rPr>
          <w:rFonts w:ascii="Calibri" w:eastAsia="Calibri" w:hAnsi="Calibri" w:cs="Calibri"/>
          <w:szCs w:val="22"/>
        </w:rPr>
        <w:t>je ukupne</w:t>
      </w:r>
      <w:r w:rsidRPr="0083565A">
        <w:rPr>
          <w:rFonts w:ascii="Calibri" w:eastAsia="Calibri" w:hAnsi="Calibri" w:cs="Calibri"/>
          <w:szCs w:val="22"/>
        </w:rPr>
        <w:t xml:space="preserve"> emisije</w:t>
      </w:r>
      <w:r w:rsidR="00260A66" w:rsidRPr="0083565A">
        <w:rPr>
          <w:rFonts w:ascii="Calibri" w:eastAsia="Calibri" w:hAnsi="Calibri" w:cs="Calibri"/>
          <w:szCs w:val="22"/>
        </w:rPr>
        <w:t xml:space="preserve"> </w:t>
      </w:r>
      <w:r w:rsidR="001C45C2">
        <w:rPr>
          <w:rFonts w:ascii="Calibri" w:eastAsia="Calibri" w:hAnsi="Calibri" w:cs="Calibri"/>
          <w:szCs w:val="22"/>
        </w:rPr>
        <w:t>CO</w:t>
      </w:r>
      <w:r w:rsidR="001C45C2" w:rsidRPr="00560BB6">
        <w:rPr>
          <w:rFonts w:ascii="Calibri" w:eastAsia="Calibri" w:hAnsi="Calibri" w:cs="Calibri"/>
          <w:szCs w:val="22"/>
          <w:vertAlign w:val="subscript"/>
        </w:rPr>
        <w:t>2</w:t>
      </w:r>
      <w:r w:rsidR="001C45C2">
        <w:rPr>
          <w:rFonts w:ascii="Calibri" w:eastAsia="Calibri" w:hAnsi="Calibri" w:cs="Calibri"/>
          <w:szCs w:val="22"/>
        </w:rPr>
        <w:t xml:space="preserve"> na administrativnom području G</w:t>
      </w:r>
      <w:r w:rsidR="00260A66" w:rsidRPr="0083565A">
        <w:rPr>
          <w:rFonts w:ascii="Calibri" w:eastAsia="Calibri" w:hAnsi="Calibri" w:cs="Calibri"/>
          <w:szCs w:val="22"/>
        </w:rPr>
        <w:t xml:space="preserve">rada </w:t>
      </w:r>
      <w:r w:rsidR="0083565A" w:rsidRPr="0083565A">
        <w:rPr>
          <w:rFonts w:ascii="Calibri" w:eastAsia="Calibri" w:hAnsi="Calibri" w:cs="Calibri"/>
          <w:szCs w:val="22"/>
        </w:rPr>
        <w:t>Zadra u kontrolnoj 2017</w:t>
      </w:r>
      <w:r w:rsidR="00260A66" w:rsidRPr="0083565A">
        <w:rPr>
          <w:rFonts w:ascii="Calibri" w:eastAsia="Calibri" w:hAnsi="Calibri" w:cs="Calibri"/>
          <w:szCs w:val="22"/>
        </w:rPr>
        <w:t xml:space="preserve">. godini u odnosu na </w:t>
      </w:r>
      <w:r w:rsidR="001C45C2">
        <w:rPr>
          <w:rFonts w:ascii="Calibri" w:eastAsia="Calibri" w:hAnsi="Calibri" w:cs="Calibri"/>
          <w:szCs w:val="22"/>
        </w:rPr>
        <w:t>baznu</w:t>
      </w:r>
      <w:r w:rsidR="004915FD">
        <w:rPr>
          <w:rFonts w:ascii="Calibri" w:eastAsia="Calibri" w:hAnsi="Calibri" w:cs="Calibri"/>
          <w:szCs w:val="22"/>
        </w:rPr>
        <w:t xml:space="preserve"> za 19</w:t>
      </w:r>
      <w:r w:rsidR="00E4479D">
        <w:rPr>
          <w:rFonts w:ascii="Calibri" w:eastAsia="Calibri" w:hAnsi="Calibri" w:cs="Calibri"/>
          <w:szCs w:val="22"/>
        </w:rPr>
        <w:t xml:space="preserve"> </w:t>
      </w:r>
      <w:r w:rsidR="004915FD">
        <w:rPr>
          <w:rFonts w:ascii="Calibri" w:eastAsia="Calibri" w:hAnsi="Calibri" w:cs="Calibri"/>
          <w:szCs w:val="22"/>
        </w:rPr>
        <w:t>%</w:t>
      </w:r>
      <w:r w:rsidRPr="0083565A">
        <w:rPr>
          <w:rFonts w:ascii="Calibri" w:eastAsia="Calibri" w:hAnsi="Calibri" w:cs="Calibri"/>
          <w:szCs w:val="22"/>
        </w:rPr>
        <w:t>. Najveće</w:t>
      </w:r>
      <w:r w:rsidR="00260A66" w:rsidRPr="0083565A">
        <w:rPr>
          <w:rFonts w:ascii="Calibri" w:eastAsia="Calibri" w:hAnsi="Calibri" w:cs="Calibri"/>
          <w:szCs w:val="22"/>
        </w:rPr>
        <w:t xml:space="preserve"> relativno</w:t>
      </w:r>
      <w:r w:rsidRPr="0083565A">
        <w:rPr>
          <w:rFonts w:ascii="Calibri" w:eastAsia="Calibri" w:hAnsi="Calibri" w:cs="Calibri"/>
          <w:szCs w:val="22"/>
        </w:rPr>
        <w:t xml:space="preserve"> smanjenje </w:t>
      </w:r>
      <w:r w:rsidR="00260A66" w:rsidRPr="0083565A">
        <w:rPr>
          <w:rFonts w:ascii="Calibri" w:eastAsia="Calibri" w:hAnsi="Calibri" w:cs="Calibri"/>
          <w:szCs w:val="22"/>
        </w:rPr>
        <w:t xml:space="preserve">postignuto </w:t>
      </w:r>
      <w:r w:rsidRPr="0083565A">
        <w:rPr>
          <w:rFonts w:ascii="Calibri" w:eastAsia="Calibri" w:hAnsi="Calibri" w:cs="Calibri"/>
          <w:szCs w:val="22"/>
        </w:rPr>
        <w:t>je u sektoru prometa,</w:t>
      </w:r>
      <w:r w:rsidR="00260A66" w:rsidRPr="0083565A">
        <w:rPr>
          <w:rFonts w:ascii="Calibri" w:eastAsia="Calibri" w:hAnsi="Calibri" w:cs="Calibri"/>
          <w:szCs w:val="22"/>
        </w:rPr>
        <w:t xml:space="preserve"> a</w:t>
      </w:r>
      <w:r w:rsidRPr="0083565A">
        <w:rPr>
          <w:rFonts w:ascii="Calibri" w:eastAsia="Calibri" w:hAnsi="Calibri" w:cs="Calibri"/>
          <w:szCs w:val="22"/>
        </w:rPr>
        <w:t xml:space="preserve"> zatim zgradarstva, dok je emisija iz javne rasvjete na gotovo istoj razini. </w:t>
      </w:r>
    </w:p>
    <w:p w14:paraId="0CCF1A97" w14:textId="7960C234" w:rsidR="007D5DDC" w:rsidRPr="007D5DDC" w:rsidRDefault="00B65B41" w:rsidP="007D5DDC">
      <w:pPr>
        <w:jc w:val="center"/>
        <w:rPr>
          <w:highlight w:val="yellow"/>
        </w:rPr>
      </w:pPr>
      <w:r>
        <w:rPr>
          <w:noProof/>
          <w:highlight w:val="yellow"/>
          <w:lang w:eastAsia="hr-HR"/>
        </w:rPr>
        <w:drawing>
          <wp:inline distT="0" distB="0" distL="0" distR="0" wp14:anchorId="27C53EBD" wp14:editId="0AA7F09C">
            <wp:extent cx="4806950" cy="4704239"/>
            <wp:effectExtent l="0" t="0" r="0" b="127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73" cy="4735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BEC90" w14:textId="465475E9" w:rsidR="00C83D0B" w:rsidRPr="0083565A" w:rsidRDefault="00731D71" w:rsidP="00535DE0">
      <w:pPr>
        <w:pStyle w:val="Opisslike"/>
      </w:pPr>
      <w:r w:rsidRPr="0083565A">
        <w:t xml:space="preserve">Slika </w:t>
      </w:r>
      <w:r w:rsidR="00482BED">
        <w:rPr>
          <w:noProof/>
        </w:rPr>
        <w:fldChar w:fldCharType="begin"/>
      </w:r>
      <w:r w:rsidR="00482BED">
        <w:rPr>
          <w:noProof/>
        </w:rPr>
        <w:instrText xml:space="preserve"> SEQ Slika \* ARABIC </w:instrText>
      </w:r>
      <w:r w:rsidR="00482BED">
        <w:rPr>
          <w:noProof/>
        </w:rPr>
        <w:fldChar w:fldCharType="separate"/>
      </w:r>
      <w:r w:rsidR="00106A79">
        <w:rPr>
          <w:noProof/>
        </w:rPr>
        <w:t>13</w:t>
      </w:r>
      <w:r w:rsidR="00482BED">
        <w:rPr>
          <w:noProof/>
        </w:rPr>
        <w:fldChar w:fldCharType="end"/>
      </w:r>
      <w:r w:rsidR="00B9440B" w:rsidRPr="0083565A">
        <w:rPr>
          <w:noProof/>
        </w:rPr>
        <w:t>:</w:t>
      </w:r>
      <w:r w:rsidRPr="0083565A">
        <w:t xml:space="preserve"> Uspored</w:t>
      </w:r>
      <w:r w:rsidR="0083565A" w:rsidRPr="0083565A">
        <w:t>ba emisija BEI 2010. i MEI 2017</w:t>
      </w:r>
      <w:r w:rsidR="00E55FC6" w:rsidRPr="0083565A">
        <w:t>.</w:t>
      </w:r>
    </w:p>
    <w:sectPr w:rsidR="00C83D0B" w:rsidRPr="0083565A" w:rsidSect="00120E2B">
      <w:headerReference w:type="default" r:id="rId26"/>
      <w:footerReference w:type="default" r:id="rId2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43EBA" w14:textId="77777777" w:rsidR="00123A20" w:rsidRDefault="00123A20" w:rsidP="00120E2B">
      <w:pPr>
        <w:spacing w:after="0"/>
      </w:pPr>
      <w:r>
        <w:separator/>
      </w:r>
    </w:p>
  </w:endnote>
  <w:endnote w:type="continuationSeparator" w:id="0">
    <w:p w14:paraId="7F6017AB" w14:textId="77777777" w:rsidR="00123A20" w:rsidRDefault="00123A20" w:rsidP="00120E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616F" w14:textId="77777777" w:rsidR="00F03229" w:rsidRPr="00074FC4" w:rsidRDefault="00F03229" w:rsidP="00BC7776">
    <w:pPr>
      <w:spacing w:after="0" w:line="360" w:lineRule="auto"/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</w:pPr>
    <w:r w:rsidRPr="003F79EB">
      <w:rPr>
        <w:rFonts w:ascii="Arial" w:eastAsia="Times New Roman" w:hAnsi="Arial" w:cs="Arial"/>
        <w:noProof/>
        <w:color w:val="000000" w:themeColor="text1"/>
        <w:sz w:val="14"/>
        <w:szCs w:val="14"/>
        <w:lang w:eastAsia="hr-HR"/>
      </w:rPr>
      <w:drawing>
        <wp:anchor distT="0" distB="0" distL="114300" distR="114300" simplePos="0" relativeHeight="251657216" behindDoc="1" locked="0" layoutInCell="1" allowOverlap="1" wp14:anchorId="443285F0" wp14:editId="6149131D">
          <wp:simplePos x="0" y="0"/>
          <wp:positionH relativeFrom="column">
            <wp:posOffset>2984500</wp:posOffset>
          </wp:positionH>
          <wp:positionV relativeFrom="paragraph">
            <wp:posOffset>-1918335</wp:posOffset>
          </wp:positionV>
          <wp:extent cx="3823200" cy="3099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or_znak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309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4FC4"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Društvo za oblikovanje održivog razvoja</w:t>
    </w:r>
  </w:p>
  <w:p w14:paraId="3E97A0D0" w14:textId="77777777" w:rsidR="00F03229" w:rsidRPr="009675AE" w:rsidRDefault="00F03229" w:rsidP="00BC7776">
    <w:pPr>
      <w:spacing w:after="0" w:line="360" w:lineRule="auto"/>
      <w:rPr>
        <w:rFonts w:eastAsia="Times New Roman" w:cs="Arial"/>
        <w:color w:val="404040" w:themeColor="text1" w:themeTint="BF"/>
        <w:sz w:val="16"/>
        <w:szCs w:val="16"/>
        <w:lang w:eastAsia="hr-HR"/>
      </w:rPr>
    </w:pPr>
    <w:r>
      <w:rPr>
        <w:rFonts w:eastAsia="Times New Roman" w:cs="Arial"/>
        <w:color w:val="404040" w:themeColor="text1" w:themeTint="BF"/>
        <w:sz w:val="16"/>
        <w:szCs w:val="16"/>
        <w:lang w:eastAsia="hr-HR"/>
      </w:rPr>
      <w:t>Janka Rakuše 1</w:t>
    </w:r>
    <w:r w:rsidRPr="009675AE">
      <w:rPr>
        <w:rFonts w:eastAsia="Times New Roman" w:cs="Arial"/>
        <w:color w:val="404040" w:themeColor="text1" w:themeTint="BF"/>
        <w:sz w:val="16"/>
        <w:szCs w:val="16"/>
        <w:lang w:eastAsia="hr-HR"/>
      </w:rPr>
      <w:t>, HR- 10 000 Zagreb</w:t>
    </w:r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   </w:t>
    </w:r>
    <w:r w:rsidRPr="00871521"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OIB</w:t>
    </w: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 xml:space="preserve">. </w:t>
    </w:r>
    <w:r w:rsidRPr="009675AE">
      <w:rPr>
        <w:rFonts w:eastAsia="Times New Roman" w:cs="Arial"/>
        <w:color w:val="404040" w:themeColor="text1" w:themeTint="BF"/>
        <w:sz w:val="16"/>
        <w:szCs w:val="16"/>
        <w:lang w:eastAsia="hr-HR"/>
      </w:rPr>
      <w:t>19904220725</w:t>
    </w:r>
  </w:p>
  <w:p w14:paraId="5A011BF6" w14:textId="77777777" w:rsidR="00F03229" w:rsidRPr="009675AE" w:rsidRDefault="00F03229" w:rsidP="00BC7776">
    <w:pPr>
      <w:spacing w:after="0" w:line="360" w:lineRule="auto"/>
      <w:rPr>
        <w:rFonts w:eastAsia="Times New Roman" w:cs="Arial"/>
        <w:color w:val="404040" w:themeColor="text1" w:themeTint="BF"/>
        <w:sz w:val="16"/>
        <w:szCs w:val="16"/>
        <w:lang w:eastAsia="hr-HR"/>
      </w:rPr>
    </w:pP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T.</w:t>
    </w:r>
    <w:r w:rsidRPr="009675AE">
      <w:rPr>
        <w:rFonts w:eastAsia="Times New Roman" w:cs="Arial"/>
        <w:b/>
        <w:color w:val="0D0D0D" w:themeColor="text1" w:themeTint="F2"/>
        <w:sz w:val="16"/>
        <w:szCs w:val="16"/>
        <w:lang w:eastAsia="hr-HR"/>
      </w:rPr>
      <w:t xml:space="preserve">  </w:t>
    </w:r>
    <w:hyperlink r:id="rId2" w:tgtFrame="_blank" w:history="1">
      <w:r w:rsidRPr="009675AE">
        <w:rPr>
          <w:rFonts w:eastAsia="Times New Roman" w:cs="Arial"/>
          <w:color w:val="404040" w:themeColor="text1" w:themeTint="BF"/>
          <w:sz w:val="16"/>
          <w:szCs w:val="16"/>
          <w:lang w:eastAsia="hr-HR"/>
        </w:rPr>
        <w:t>+385 1 4655 441</w:t>
      </w:r>
    </w:hyperlink>
    <w:r>
      <w:t xml:space="preserve">    </w:t>
    </w:r>
    <w:r w:rsidRPr="00871521"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E.</w:t>
    </w:r>
    <w:r w:rsidRPr="00871521">
      <w:rPr>
        <w:rFonts w:asciiTheme="majorHAnsi" w:eastAsia="Times New Roman" w:hAnsiTheme="majorHAnsi" w:cs="Arial"/>
        <w:b/>
        <w:color w:val="404040" w:themeColor="text1" w:themeTint="BF"/>
        <w:sz w:val="16"/>
        <w:szCs w:val="16"/>
        <w:lang w:eastAsia="hr-HR"/>
      </w:rPr>
      <w:t xml:space="preserve">  </w:t>
    </w:r>
    <w:hyperlink r:id="rId3" w:tgtFrame="_blank" w:history="1">
      <w:r w:rsidRPr="009675AE">
        <w:rPr>
          <w:rFonts w:eastAsia="Times New Roman" w:cs="Arial"/>
          <w:color w:val="404040" w:themeColor="text1" w:themeTint="BF"/>
          <w:sz w:val="16"/>
          <w:szCs w:val="16"/>
          <w:lang w:eastAsia="hr-HR"/>
        </w:rPr>
        <w:t>info@door.hr</w:t>
      </w:r>
    </w:hyperlink>
  </w:p>
  <w:p w14:paraId="779A8262" w14:textId="77777777" w:rsidR="00F03229" w:rsidRPr="00BC7776" w:rsidRDefault="00F03229" w:rsidP="00BC7776">
    <w:pPr>
      <w:spacing w:after="0" w:line="360" w:lineRule="auto"/>
      <w:rPr>
        <w:rFonts w:eastAsia="Times New Roman" w:cs="Arial"/>
        <w:color w:val="0D0D0D" w:themeColor="text1" w:themeTint="F2"/>
        <w:sz w:val="16"/>
        <w:szCs w:val="16"/>
        <w:lang w:eastAsia="hr-HR"/>
      </w:rPr>
    </w:pPr>
    <w:r w:rsidRPr="009675AE">
      <w:rPr>
        <w:rFonts w:eastAsia="Times New Roman" w:cs="Arial"/>
        <w:color w:val="0D0D0D" w:themeColor="text1" w:themeTint="F2"/>
        <w:sz w:val="16"/>
        <w:szCs w:val="16"/>
        <w:lang w:eastAsia="hr-HR"/>
      </w:rPr>
      <w:t>www.door.hr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332874"/>
      <w:docPartObj>
        <w:docPartGallery w:val="Page Numbers (Bottom of Page)"/>
        <w:docPartUnique/>
      </w:docPartObj>
    </w:sdtPr>
    <w:sdtEndPr/>
    <w:sdtContent>
      <w:p w14:paraId="7D996155" w14:textId="27EAD945" w:rsidR="00F03229" w:rsidRDefault="00F032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3D3">
          <w:rPr>
            <w:noProof/>
          </w:rPr>
          <w:t>2</w:t>
        </w:r>
        <w:r>
          <w:fldChar w:fldCharType="end"/>
        </w:r>
      </w:p>
    </w:sdtContent>
  </w:sdt>
  <w:p w14:paraId="0BC74B51" w14:textId="14D23325" w:rsidR="00F03229" w:rsidRPr="00BC7776" w:rsidRDefault="00F03229" w:rsidP="00BC7776">
    <w:pPr>
      <w:spacing w:after="0" w:line="360" w:lineRule="auto"/>
      <w:rPr>
        <w:rFonts w:eastAsia="Times New Roman" w:cs="Arial"/>
        <w:color w:val="0D0D0D" w:themeColor="text1" w:themeTint="F2"/>
        <w:sz w:val="16"/>
        <w:szCs w:val="16"/>
        <w:lang w:eastAsia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70346" w14:textId="77777777" w:rsidR="00123A20" w:rsidRDefault="00123A20" w:rsidP="00120E2B">
      <w:pPr>
        <w:spacing w:after="0"/>
      </w:pPr>
      <w:r>
        <w:separator/>
      </w:r>
    </w:p>
  </w:footnote>
  <w:footnote w:type="continuationSeparator" w:id="0">
    <w:p w14:paraId="12CE6527" w14:textId="77777777" w:rsidR="00123A20" w:rsidRDefault="00123A20" w:rsidP="00120E2B">
      <w:pPr>
        <w:spacing w:after="0"/>
      </w:pPr>
      <w:r>
        <w:continuationSeparator/>
      </w:r>
    </w:p>
  </w:footnote>
  <w:footnote w:id="1">
    <w:p w14:paraId="4B6F31F3" w14:textId="3E1BD04E" w:rsidR="00F03229" w:rsidRDefault="00F03229" w:rsidP="00C83D0B">
      <w:pPr>
        <w:pStyle w:val="Tekstfusnote"/>
      </w:pPr>
      <w:r w:rsidRPr="009252C3">
        <w:rPr>
          <w:rStyle w:val="Referencafusnote"/>
          <w:sz w:val="20"/>
        </w:rPr>
        <w:footnoteRef/>
      </w:r>
      <w:r>
        <w:rPr>
          <w:sz w:val="20"/>
        </w:rPr>
        <w:t xml:space="preserve"> </w:t>
      </w:r>
      <w:r w:rsidRPr="009252C3">
        <w:rPr>
          <w:sz w:val="20"/>
        </w:rPr>
        <w:t>Objavljeno u Priručniku „Kako izraditi Akcijski plan energetski održivog razvitka</w:t>
      </w:r>
      <w:r>
        <w:rPr>
          <w:sz w:val="20"/>
        </w:rPr>
        <w:t xml:space="preserve"> (SEAP)</w:t>
      </w:r>
      <w:r w:rsidRPr="009252C3">
        <w:rPr>
          <w:sz w:val="20"/>
        </w:rPr>
        <w:t>“, Dio II</w:t>
      </w:r>
      <w:r>
        <w:rPr>
          <w:sz w:val="20"/>
        </w:rPr>
        <w:t>.</w:t>
      </w:r>
      <w:r w:rsidRPr="009252C3">
        <w:rPr>
          <w:sz w:val="20"/>
        </w:rPr>
        <w:t xml:space="preserve">: </w:t>
      </w:r>
      <w:r>
        <w:rPr>
          <w:sz w:val="20"/>
        </w:rPr>
        <w:t>Bazni</w:t>
      </w:r>
      <w:r w:rsidRPr="009252C3">
        <w:rPr>
          <w:sz w:val="20"/>
        </w:rPr>
        <w:t xml:space="preserve"> inventar emisija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A918" w14:textId="77777777" w:rsidR="00F03229" w:rsidRDefault="00F0322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5689283D" wp14:editId="66D994E8">
          <wp:simplePos x="0" y="0"/>
          <wp:positionH relativeFrom="column">
            <wp:posOffset>0</wp:posOffset>
          </wp:positionH>
          <wp:positionV relativeFrom="paragraph">
            <wp:posOffset>92075</wp:posOffset>
          </wp:positionV>
          <wp:extent cx="727200" cy="63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or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63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3A728" w14:textId="77777777" w:rsidR="00F03229" w:rsidRDefault="00F03229">
    <w:pPr>
      <w:pStyle w:val="Zaglavlje"/>
    </w:pPr>
  </w:p>
  <w:p w14:paraId="12106E2B" w14:textId="77777777" w:rsidR="00F03229" w:rsidRDefault="00F03229">
    <w:pPr>
      <w:pStyle w:val="Zaglavlje"/>
    </w:pPr>
  </w:p>
  <w:p w14:paraId="1B5F29C9" w14:textId="77777777" w:rsidR="00F03229" w:rsidRDefault="00F03229">
    <w:pPr>
      <w:pStyle w:val="Zaglavlje"/>
    </w:pPr>
  </w:p>
  <w:p w14:paraId="2CD2C668" w14:textId="77777777" w:rsidR="00F03229" w:rsidRDefault="00F03229">
    <w:pPr>
      <w:pStyle w:val="Zaglavlje"/>
    </w:pPr>
  </w:p>
  <w:p w14:paraId="2D125B13" w14:textId="77777777" w:rsidR="00F03229" w:rsidRDefault="00F0322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3EDEA" w14:textId="77777777" w:rsidR="00F03229" w:rsidRDefault="00F03229">
    <w:pPr>
      <w:pStyle w:val="Zaglavlje"/>
    </w:pPr>
  </w:p>
  <w:p w14:paraId="087B0F51" w14:textId="77777777" w:rsidR="00F03229" w:rsidRDefault="00F03229">
    <w:pPr>
      <w:pStyle w:val="Zaglavlje"/>
    </w:pPr>
  </w:p>
  <w:p w14:paraId="740739B7" w14:textId="77777777" w:rsidR="00F03229" w:rsidRDefault="00F0322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06D02"/>
    <w:multiLevelType w:val="multilevel"/>
    <w:tmpl w:val="E3827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BF7B91"/>
    <w:multiLevelType w:val="multilevel"/>
    <w:tmpl w:val="5530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5E0936"/>
    <w:multiLevelType w:val="multilevel"/>
    <w:tmpl w:val="629EC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C571CF"/>
    <w:multiLevelType w:val="multilevel"/>
    <w:tmpl w:val="E72C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A848B4"/>
    <w:multiLevelType w:val="multilevel"/>
    <w:tmpl w:val="BFD27210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274BDD"/>
    <w:multiLevelType w:val="hybridMultilevel"/>
    <w:tmpl w:val="561E0EBE"/>
    <w:lvl w:ilvl="0" w:tplc="C082D7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2C4F"/>
    <w:multiLevelType w:val="hybridMultilevel"/>
    <w:tmpl w:val="293A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7C1D"/>
    <w:multiLevelType w:val="hybridMultilevel"/>
    <w:tmpl w:val="2764A526"/>
    <w:lvl w:ilvl="0" w:tplc="7848E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814"/>
    <w:multiLevelType w:val="multilevel"/>
    <w:tmpl w:val="7A22F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253F3F"/>
    <w:multiLevelType w:val="hybridMultilevel"/>
    <w:tmpl w:val="C15214A2"/>
    <w:lvl w:ilvl="0" w:tplc="7382DA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E4082"/>
    <w:multiLevelType w:val="multilevel"/>
    <w:tmpl w:val="779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8A1C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B53FFA"/>
    <w:multiLevelType w:val="hybridMultilevel"/>
    <w:tmpl w:val="8B0E2040"/>
    <w:lvl w:ilvl="0" w:tplc="BE2636F4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F7274"/>
    <w:multiLevelType w:val="multilevel"/>
    <w:tmpl w:val="4B9C2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EBA6741"/>
    <w:multiLevelType w:val="multilevel"/>
    <w:tmpl w:val="133C247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4"/>
  </w:num>
  <w:num w:numId="15">
    <w:abstractNumId w:val="13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2B"/>
    <w:rsid w:val="00003732"/>
    <w:rsid w:val="00004521"/>
    <w:rsid w:val="00012413"/>
    <w:rsid w:val="0001794D"/>
    <w:rsid w:val="00047D4B"/>
    <w:rsid w:val="00051149"/>
    <w:rsid w:val="00065687"/>
    <w:rsid w:val="00065EE8"/>
    <w:rsid w:val="00066510"/>
    <w:rsid w:val="000A6230"/>
    <w:rsid w:val="000B16B9"/>
    <w:rsid w:val="000B5A20"/>
    <w:rsid w:val="000B6419"/>
    <w:rsid w:val="000C5366"/>
    <w:rsid w:val="000C5EF5"/>
    <w:rsid w:val="000D2483"/>
    <w:rsid w:val="000E1FC1"/>
    <w:rsid w:val="000F5028"/>
    <w:rsid w:val="000F65FD"/>
    <w:rsid w:val="00101A89"/>
    <w:rsid w:val="00102BB8"/>
    <w:rsid w:val="001062FC"/>
    <w:rsid w:val="00106A79"/>
    <w:rsid w:val="00112DBC"/>
    <w:rsid w:val="00112DC7"/>
    <w:rsid w:val="00114C43"/>
    <w:rsid w:val="00120E2B"/>
    <w:rsid w:val="00123A20"/>
    <w:rsid w:val="00123BE4"/>
    <w:rsid w:val="00126774"/>
    <w:rsid w:val="00134F84"/>
    <w:rsid w:val="00163468"/>
    <w:rsid w:val="0016677E"/>
    <w:rsid w:val="00175AA2"/>
    <w:rsid w:val="00181671"/>
    <w:rsid w:val="001866B5"/>
    <w:rsid w:val="00190ACF"/>
    <w:rsid w:val="001922CA"/>
    <w:rsid w:val="0019504C"/>
    <w:rsid w:val="001965E5"/>
    <w:rsid w:val="001A21A2"/>
    <w:rsid w:val="001A543D"/>
    <w:rsid w:val="001B641F"/>
    <w:rsid w:val="001B7A56"/>
    <w:rsid w:val="001B7E8C"/>
    <w:rsid w:val="001C45C2"/>
    <w:rsid w:val="001D15F4"/>
    <w:rsid w:val="001D5AB3"/>
    <w:rsid w:val="001D64B3"/>
    <w:rsid w:val="001F2608"/>
    <w:rsid w:val="001F2F34"/>
    <w:rsid w:val="001F7940"/>
    <w:rsid w:val="00225B19"/>
    <w:rsid w:val="00250326"/>
    <w:rsid w:val="002518F3"/>
    <w:rsid w:val="00260A66"/>
    <w:rsid w:val="00260A91"/>
    <w:rsid w:val="00264AD8"/>
    <w:rsid w:val="0027222A"/>
    <w:rsid w:val="0028533F"/>
    <w:rsid w:val="002864CD"/>
    <w:rsid w:val="002C74F6"/>
    <w:rsid w:val="002D4DC8"/>
    <w:rsid w:val="002E48A7"/>
    <w:rsid w:val="002E6DD5"/>
    <w:rsid w:val="00301F19"/>
    <w:rsid w:val="0031275D"/>
    <w:rsid w:val="00315A97"/>
    <w:rsid w:val="00315FC2"/>
    <w:rsid w:val="00320B44"/>
    <w:rsid w:val="00330E73"/>
    <w:rsid w:val="00346167"/>
    <w:rsid w:val="00351E5C"/>
    <w:rsid w:val="00354405"/>
    <w:rsid w:val="003552C7"/>
    <w:rsid w:val="0038329B"/>
    <w:rsid w:val="00384142"/>
    <w:rsid w:val="00393918"/>
    <w:rsid w:val="003A2154"/>
    <w:rsid w:val="003A3D68"/>
    <w:rsid w:val="003A7984"/>
    <w:rsid w:val="003A7A10"/>
    <w:rsid w:val="003C6234"/>
    <w:rsid w:val="003C703F"/>
    <w:rsid w:val="003D1252"/>
    <w:rsid w:val="003D339E"/>
    <w:rsid w:val="003E4C6A"/>
    <w:rsid w:val="003E5497"/>
    <w:rsid w:val="003F05C5"/>
    <w:rsid w:val="003F3221"/>
    <w:rsid w:val="003F58D6"/>
    <w:rsid w:val="003F719D"/>
    <w:rsid w:val="00401490"/>
    <w:rsid w:val="004136B0"/>
    <w:rsid w:val="00420C66"/>
    <w:rsid w:val="004303FB"/>
    <w:rsid w:val="00451791"/>
    <w:rsid w:val="0045377B"/>
    <w:rsid w:val="00462986"/>
    <w:rsid w:val="004717DD"/>
    <w:rsid w:val="00471D96"/>
    <w:rsid w:val="00472A4D"/>
    <w:rsid w:val="00481118"/>
    <w:rsid w:val="00482BED"/>
    <w:rsid w:val="004915FD"/>
    <w:rsid w:val="004952D6"/>
    <w:rsid w:val="004A53D3"/>
    <w:rsid w:val="004A671B"/>
    <w:rsid w:val="004C673F"/>
    <w:rsid w:val="004E2AB2"/>
    <w:rsid w:val="00510A0E"/>
    <w:rsid w:val="00525518"/>
    <w:rsid w:val="00526E6E"/>
    <w:rsid w:val="0053097C"/>
    <w:rsid w:val="005348E9"/>
    <w:rsid w:val="00535DE0"/>
    <w:rsid w:val="0053662F"/>
    <w:rsid w:val="00542582"/>
    <w:rsid w:val="00560BB6"/>
    <w:rsid w:val="005625CF"/>
    <w:rsid w:val="00574EEC"/>
    <w:rsid w:val="00583C07"/>
    <w:rsid w:val="00590C23"/>
    <w:rsid w:val="005A1C14"/>
    <w:rsid w:val="005A73D3"/>
    <w:rsid w:val="005B1834"/>
    <w:rsid w:val="005B2368"/>
    <w:rsid w:val="005C0123"/>
    <w:rsid w:val="005C2E56"/>
    <w:rsid w:val="005D3282"/>
    <w:rsid w:val="005E4906"/>
    <w:rsid w:val="005F4A55"/>
    <w:rsid w:val="006112AA"/>
    <w:rsid w:val="00620616"/>
    <w:rsid w:val="00620D72"/>
    <w:rsid w:val="006216F3"/>
    <w:rsid w:val="0062558B"/>
    <w:rsid w:val="006357E8"/>
    <w:rsid w:val="006359BE"/>
    <w:rsid w:val="00645B76"/>
    <w:rsid w:val="00653E5E"/>
    <w:rsid w:val="00675B7B"/>
    <w:rsid w:val="00682194"/>
    <w:rsid w:val="00685261"/>
    <w:rsid w:val="0069422A"/>
    <w:rsid w:val="006A39A8"/>
    <w:rsid w:val="006B25A1"/>
    <w:rsid w:val="006B6BB0"/>
    <w:rsid w:val="006B79CC"/>
    <w:rsid w:val="006C2020"/>
    <w:rsid w:val="006C3607"/>
    <w:rsid w:val="006C7560"/>
    <w:rsid w:val="006E2B45"/>
    <w:rsid w:val="0070125E"/>
    <w:rsid w:val="0071035F"/>
    <w:rsid w:val="00713C47"/>
    <w:rsid w:val="00713D92"/>
    <w:rsid w:val="00715F96"/>
    <w:rsid w:val="00716A5C"/>
    <w:rsid w:val="007171E0"/>
    <w:rsid w:val="00720D92"/>
    <w:rsid w:val="00722C01"/>
    <w:rsid w:val="0072502B"/>
    <w:rsid w:val="00727E78"/>
    <w:rsid w:val="00731D71"/>
    <w:rsid w:val="007430D6"/>
    <w:rsid w:val="007575B7"/>
    <w:rsid w:val="00765B69"/>
    <w:rsid w:val="00765E43"/>
    <w:rsid w:val="00771EE3"/>
    <w:rsid w:val="0077437C"/>
    <w:rsid w:val="00785C63"/>
    <w:rsid w:val="00786AD3"/>
    <w:rsid w:val="00791203"/>
    <w:rsid w:val="007917A2"/>
    <w:rsid w:val="00792326"/>
    <w:rsid w:val="00793822"/>
    <w:rsid w:val="007938B4"/>
    <w:rsid w:val="007A0AF0"/>
    <w:rsid w:val="007A7813"/>
    <w:rsid w:val="007B5181"/>
    <w:rsid w:val="007B5AD8"/>
    <w:rsid w:val="007C2C58"/>
    <w:rsid w:val="007D5DDC"/>
    <w:rsid w:val="007E328E"/>
    <w:rsid w:val="007F1517"/>
    <w:rsid w:val="007F1949"/>
    <w:rsid w:val="00803C79"/>
    <w:rsid w:val="00804228"/>
    <w:rsid w:val="00817ADA"/>
    <w:rsid w:val="00823EAD"/>
    <w:rsid w:val="0083565A"/>
    <w:rsid w:val="00843531"/>
    <w:rsid w:val="008435D8"/>
    <w:rsid w:val="008446FD"/>
    <w:rsid w:val="008475A7"/>
    <w:rsid w:val="0086438F"/>
    <w:rsid w:val="00866787"/>
    <w:rsid w:val="008674C7"/>
    <w:rsid w:val="008B56AB"/>
    <w:rsid w:val="008E2C1E"/>
    <w:rsid w:val="008F6791"/>
    <w:rsid w:val="00900585"/>
    <w:rsid w:val="00901298"/>
    <w:rsid w:val="00901D1A"/>
    <w:rsid w:val="00903554"/>
    <w:rsid w:val="00906F96"/>
    <w:rsid w:val="00913325"/>
    <w:rsid w:val="00913576"/>
    <w:rsid w:val="00917EF0"/>
    <w:rsid w:val="009252C3"/>
    <w:rsid w:val="009414A7"/>
    <w:rsid w:val="00943030"/>
    <w:rsid w:val="00946AE9"/>
    <w:rsid w:val="009524AE"/>
    <w:rsid w:val="009554AB"/>
    <w:rsid w:val="0096317B"/>
    <w:rsid w:val="0097171E"/>
    <w:rsid w:val="0097582A"/>
    <w:rsid w:val="009814AC"/>
    <w:rsid w:val="009855DB"/>
    <w:rsid w:val="009A0097"/>
    <w:rsid w:val="009A23E4"/>
    <w:rsid w:val="009B7FCF"/>
    <w:rsid w:val="009C269C"/>
    <w:rsid w:val="009E2308"/>
    <w:rsid w:val="009E4106"/>
    <w:rsid w:val="009E48A3"/>
    <w:rsid w:val="009F12D6"/>
    <w:rsid w:val="00A005CB"/>
    <w:rsid w:val="00A16324"/>
    <w:rsid w:val="00A17D8B"/>
    <w:rsid w:val="00A24A17"/>
    <w:rsid w:val="00A3147A"/>
    <w:rsid w:val="00A34C3E"/>
    <w:rsid w:val="00A5444D"/>
    <w:rsid w:val="00A661E6"/>
    <w:rsid w:val="00A81186"/>
    <w:rsid w:val="00A811A5"/>
    <w:rsid w:val="00A91D0F"/>
    <w:rsid w:val="00AA0713"/>
    <w:rsid w:val="00AB2B14"/>
    <w:rsid w:val="00AB3FAE"/>
    <w:rsid w:val="00AB790F"/>
    <w:rsid w:val="00AC2462"/>
    <w:rsid w:val="00AD3404"/>
    <w:rsid w:val="00AD5359"/>
    <w:rsid w:val="00AD76CC"/>
    <w:rsid w:val="00AE431B"/>
    <w:rsid w:val="00B03116"/>
    <w:rsid w:val="00B06509"/>
    <w:rsid w:val="00B06F83"/>
    <w:rsid w:val="00B2586A"/>
    <w:rsid w:val="00B30B40"/>
    <w:rsid w:val="00B36C8F"/>
    <w:rsid w:val="00B36CF1"/>
    <w:rsid w:val="00B41EFE"/>
    <w:rsid w:val="00B57AEE"/>
    <w:rsid w:val="00B65B41"/>
    <w:rsid w:val="00B67695"/>
    <w:rsid w:val="00B707AB"/>
    <w:rsid w:val="00B7171B"/>
    <w:rsid w:val="00B74A3B"/>
    <w:rsid w:val="00B77CAA"/>
    <w:rsid w:val="00B818CD"/>
    <w:rsid w:val="00B85818"/>
    <w:rsid w:val="00B92306"/>
    <w:rsid w:val="00B9392F"/>
    <w:rsid w:val="00B9440B"/>
    <w:rsid w:val="00BA096A"/>
    <w:rsid w:val="00BA0D25"/>
    <w:rsid w:val="00BA3A44"/>
    <w:rsid w:val="00BB12E2"/>
    <w:rsid w:val="00BC7776"/>
    <w:rsid w:val="00BD0F48"/>
    <w:rsid w:val="00BD49B4"/>
    <w:rsid w:val="00BD50A1"/>
    <w:rsid w:val="00BE457A"/>
    <w:rsid w:val="00BF0682"/>
    <w:rsid w:val="00C0713E"/>
    <w:rsid w:val="00C10AE9"/>
    <w:rsid w:val="00C148DE"/>
    <w:rsid w:val="00C24E28"/>
    <w:rsid w:val="00C41A89"/>
    <w:rsid w:val="00C56FF2"/>
    <w:rsid w:val="00C60E50"/>
    <w:rsid w:val="00C64964"/>
    <w:rsid w:val="00C77175"/>
    <w:rsid w:val="00C83D0B"/>
    <w:rsid w:val="00C84B41"/>
    <w:rsid w:val="00C90D45"/>
    <w:rsid w:val="00CA60CE"/>
    <w:rsid w:val="00CA7354"/>
    <w:rsid w:val="00CB3A8F"/>
    <w:rsid w:val="00CC14DF"/>
    <w:rsid w:val="00CC3216"/>
    <w:rsid w:val="00CC5D30"/>
    <w:rsid w:val="00CD10BC"/>
    <w:rsid w:val="00CE6C43"/>
    <w:rsid w:val="00CE6D4C"/>
    <w:rsid w:val="00D0051F"/>
    <w:rsid w:val="00D02D2C"/>
    <w:rsid w:val="00D145C1"/>
    <w:rsid w:val="00D20091"/>
    <w:rsid w:val="00D20DD6"/>
    <w:rsid w:val="00D34A0A"/>
    <w:rsid w:val="00D40C20"/>
    <w:rsid w:val="00D41158"/>
    <w:rsid w:val="00D42D1B"/>
    <w:rsid w:val="00D579ED"/>
    <w:rsid w:val="00D62265"/>
    <w:rsid w:val="00D63F1F"/>
    <w:rsid w:val="00D661DC"/>
    <w:rsid w:val="00D72DAA"/>
    <w:rsid w:val="00D975EB"/>
    <w:rsid w:val="00DA0D31"/>
    <w:rsid w:val="00DA1EA0"/>
    <w:rsid w:val="00DA227E"/>
    <w:rsid w:val="00DA69B5"/>
    <w:rsid w:val="00DD463F"/>
    <w:rsid w:val="00DD6136"/>
    <w:rsid w:val="00DF1BD7"/>
    <w:rsid w:val="00E05D57"/>
    <w:rsid w:val="00E10996"/>
    <w:rsid w:val="00E22852"/>
    <w:rsid w:val="00E26E4F"/>
    <w:rsid w:val="00E326D8"/>
    <w:rsid w:val="00E341EA"/>
    <w:rsid w:val="00E34CA6"/>
    <w:rsid w:val="00E4479D"/>
    <w:rsid w:val="00E54037"/>
    <w:rsid w:val="00E55FC6"/>
    <w:rsid w:val="00E56BE8"/>
    <w:rsid w:val="00E625E6"/>
    <w:rsid w:val="00E72252"/>
    <w:rsid w:val="00E72FB1"/>
    <w:rsid w:val="00E75338"/>
    <w:rsid w:val="00EC5CDE"/>
    <w:rsid w:val="00EC66EA"/>
    <w:rsid w:val="00ED1D72"/>
    <w:rsid w:val="00ED2862"/>
    <w:rsid w:val="00ED4D82"/>
    <w:rsid w:val="00F03229"/>
    <w:rsid w:val="00F13696"/>
    <w:rsid w:val="00F23958"/>
    <w:rsid w:val="00F266DA"/>
    <w:rsid w:val="00F31E8C"/>
    <w:rsid w:val="00F3659D"/>
    <w:rsid w:val="00F378E4"/>
    <w:rsid w:val="00F5010A"/>
    <w:rsid w:val="00F53B74"/>
    <w:rsid w:val="00F56CC3"/>
    <w:rsid w:val="00F6054F"/>
    <w:rsid w:val="00F72F98"/>
    <w:rsid w:val="00F76534"/>
    <w:rsid w:val="00F8438D"/>
    <w:rsid w:val="00F84D2F"/>
    <w:rsid w:val="00F907E7"/>
    <w:rsid w:val="00FA3F26"/>
    <w:rsid w:val="00FA5BBA"/>
    <w:rsid w:val="00FB45CD"/>
    <w:rsid w:val="00FC334A"/>
    <w:rsid w:val="00FC33F7"/>
    <w:rsid w:val="00FC5348"/>
    <w:rsid w:val="00FD4AE8"/>
    <w:rsid w:val="00FD726E"/>
    <w:rsid w:val="00FE04CF"/>
    <w:rsid w:val="00FE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3B99B"/>
  <w15:docId w15:val="{0735C029-2BB0-4E65-911B-18953DC1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2A"/>
    <w:pPr>
      <w:spacing w:after="200"/>
      <w:jc w:val="both"/>
    </w:pPr>
    <w:rPr>
      <w:rFonts w:eastAsiaTheme="minorEastAsia"/>
      <w:sz w:val="22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C83D0B"/>
    <w:pPr>
      <w:keepNext/>
      <w:keepLines/>
      <w:numPr>
        <w:numId w:val="16"/>
      </w:numPr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E326D8"/>
    <w:pPr>
      <w:keepNext/>
      <w:keepLines/>
      <w:numPr>
        <w:ilvl w:val="1"/>
        <w:numId w:val="16"/>
      </w:numPr>
      <w:spacing w:before="40" w:after="0" w:line="259" w:lineRule="auto"/>
      <w:jc w:val="left"/>
      <w:outlineLvl w:val="1"/>
    </w:pPr>
    <w:rPr>
      <w:rFonts w:ascii="Calibri" w:eastAsia="Times New Roman" w:hAnsi="Calibri" w:cstheme="majorBidi"/>
      <w:b/>
      <w:sz w:val="28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E326D8"/>
    <w:pPr>
      <w:keepNext/>
      <w:keepLines/>
      <w:numPr>
        <w:ilvl w:val="2"/>
        <w:numId w:val="16"/>
      </w:numPr>
      <w:spacing w:before="40" w:after="0" w:line="259" w:lineRule="auto"/>
      <w:jc w:val="left"/>
      <w:outlineLvl w:val="2"/>
    </w:pPr>
    <w:rPr>
      <w:rFonts w:ascii="Calibri" w:eastAsia="Times New Roman" w:hAnsi="Calibri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7560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7560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7560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7560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7560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7560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0E2B"/>
    <w:pPr>
      <w:tabs>
        <w:tab w:val="center" w:pos="4703"/>
        <w:tab w:val="right" w:pos="9406"/>
      </w:tabs>
      <w:spacing w:after="0"/>
      <w:jc w:val="left"/>
    </w:pPr>
    <w:rPr>
      <w:rFonts w:eastAsiaTheme="minorHAnsi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120E2B"/>
  </w:style>
  <w:style w:type="paragraph" w:styleId="Podnoje">
    <w:name w:val="footer"/>
    <w:basedOn w:val="Normal"/>
    <w:link w:val="PodnojeChar"/>
    <w:uiPriority w:val="99"/>
    <w:unhideWhenUsed/>
    <w:rsid w:val="00120E2B"/>
    <w:pPr>
      <w:tabs>
        <w:tab w:val="center" w:pos="4703"/>
        <w:tab w:val="right" w:pos="9406"/>
      </w:tabs>
      <w:spacing w:after="0"/>
      <w:jc w:val="left"/>
    </w:pPr>
    <w:rPr>
      <w:rFonts w:eastAsiaTheme="minorHAnsi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120E2B"/>
  </w:style>
  <w:style w:type="character" w:styleId="Referencakomentara">
    <w:name w:val="annotation reference"/>
    <w:basedOn w:val="Zadanifontodlomka"/>
    <w:uiPriority w:val="99"/>
    <w:semiHidden/>
    <w:unhideWhenUsed/>
    <w:rsid w:val="009F12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F12D6"/>
  </w:style>
  <w:style w:type="character" w:customStyle="1" w:styleId="TekstkomentaraChar">
    <w:name w:val="Tekst komentara Char"/>
    <w:basedOn w:val="Zadanifontodlomka"/>
    <w:link w:val="Tekstkomentara"/>
    <w:uiPriority w:val="99"/>
    <w:rsid w:val="009F12D6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12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12D6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2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12D6"/>
    <w:rPr>
      <w:rFonts w:ascii="Segoe UI" w:eastAsiaTheme="minorEastAsia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56FF2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C83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326D8"/>
    <w:rPr>
      <w:rFonts w:ascii="Calibri" w:eastAsia="Times New Roman" w:hAnsi="Calibri" w:cstheme="majorBidi"/>
      <w:b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326D8"/>
    <w:rPr>
      <w:rFonts w:ascii="Calibri" w:eastAsia="Times New Roman" w:hAnsi="Calibri" w:cstheme="majorBidi"/>
      <w:b/>
    </w:rPr>
  </w:style>
  <w:style w:type="table" w:customStyle="1" w:styleId="GridTable4-Accent31">
    <w:name w:val="Grid Table 4 - Accent 31"/>
    <w:basedOn w:val="Obinatablica"/>
    <w:next w:val="GridTable4-Accent32"/>
    <w:uiPriority w:val="49"/>
    <w:rsid w:val="00C83D0B"/>
    <w:rPr>
      <w:rFonts w:eastAsia="Calibri"/>
      <w:sz w:val="22"/>
      <w:szCs w:val="22"/>
      <w:lang w:val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11">
    <w:name w:val="Grid Table 4 - Accent 11"/>
    <w:basedOn w:val="Obinatablica"/>
    <w:next w:val="GridTable4-Accent12"/>
    <w:uiPriority w:val="49"/>
    <w:rsid w:val="00C83D0B"/>
    <w:rPr>
      <w:rFonts w:eastAsia="Calibri"/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61">
    <w:name w:val="Grid Table 4 - Accent 61"/>
    <w:basedOn w:val="Obinatablica"/>
    <w:next w:val="GridTable4-Accent62"/>
    <w:uiPriority w:val="49"/>
    <w:rsid w:val="00C83D0B"/>
    <w:rPr>
      <w:rFonts w:eastAsia="Calibri"/>
      <w:sz w:val="22"/>
      <w:szCs w:val="22"/>
      <w:lang w:val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1">
    <w:name w:val="Grid Table 41"/>
    <w:basedOn w:val="Obinatablica"/>
    <w:next w:val="GridTable42"/>
    <w:uiPriority w:val="49"/>
    <w:rsid w:val="00C83D0B"/>
    <w:rPr>
      <w:rFonts w:eastAsia="Calibri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21">
    <w:name w:val="Grid Table 4 - Accent 21"/>
    <w:basedOn w:val="Obinatablica"/>
    <w:next w:val="GridTable4-Accent22"/>
    <w:uiPriority w:val="49"/>
    <w:rsid w:val="00C83D0B"/>
    <w:rPr>
      <w:rFonts w:eastAsia="Calibri"/>
      <w:sz w:val="22"/>
      <w:szCs w:val="22"/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32">
    <w:name w:val="Grid Table 4 - Accent 32"/>
    <w:basedOn w:val="Obinatablica"/>
    <w:uiPriority w:val="49"/>
    <w:rsid w:val="00C83D0B"/>
    <w:rPr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2">
    <w:name w:val="Grid Table 4 - Accent 12"/>
    <w:basedOn w:val="Obinatablica"/>
    <w:uiPriority w:val="49"/>
    <w:rsid w:val="00C83D0B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62">
    <w:name w:val="Grid Table 4 - Accent 62"/>
    <w:basedOn w:val="Obinatablica"/>
    <w:uiPriority w:val="49"/>
    <w:rsid w:val="00C83D0B"/>
    <w:rPr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2">
    <w:name w:val="Grid Table 42"/>
    <w:basedOn w:val="Obinatablica"/>
    <w:uiPriority w:val="49"/>
    <w:rsid w:val="00C83D0B"/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22">
    <w:name w:val="Grid Table 4 - Accent 22"/>
    <w:basedOn w:val="Obinatablica"/>
    <w:uiPriority w:val="49"/>
    <w:rsid w:val="00C83D0B"/>
    <w:rPr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Odlomakpopisa">
    <w:name w:val="List Paragraph"/>
    <w:basedOn w:val="Normal"/>
    <w:uiPriority w:val="34"/>
    <w:qFormat/>
    <w:rsid w:val="00C83D0B"/>
    <w:pPr>
      <w:spacing w:after="160" w:line="259" w:lineRule="auto"/>
      <w:ind w:left="720"/>
      <w:contextualSpacing/>
      <w:jc w:val="left"/>
    </w:pPr>
    <w:rPr>
      <w:rFonts w:eastAsiaTheme="minorHAnsi"/>
      <w:szCs w:val="22"/>
    </w:rPr>
  </w:style>
  <w:style w:type="character" w:styleId="Neupadljivoisticanje">
    <w:name w:val="Subtle Emphasis"/>
    <w:basedOn w:val="Zadanifontodlomka"/>
    <w:uiPriority w:val="19"/>
    <w:qFormat/>
    <w:rsid w:val="00C83D0B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C83D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83D0B"/>
    <w:pPr>
      <w:spacing w:after="0"/>
      <w:jc w:val="left"/>
    </w:pPr>
    <w:rPr>
      <w:rFonts w:eastAsiaTheme="minorHAnsi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3D0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83D0B"/>
    <w:rPr>
      <w:vertAlign w:val="superscript"/>
    </w:rPr>
  </w:style>
  <w:style w:type="paragraph" w:styleId="Opisslike">
    <w:name w:val="caption"/>
    <w:basedOn w:val="Normal"/>
    <w:next w:val="Normal"/>
    <w:autoRedefine/>
    <w:uiPriority w:val="35"/>
    <w:unhideWhenUsed/>
    <w:qFormat/>
    <w:rsid w:val="00535DE0"/>
    <w:pPr>
      <w:jc w:val="left"/>
    </w:pPr>
    <w:rPr>
      <w:rFonts w:eastAsiaTheme="minorHAnsi"/>
      <w:b/>
      <w:iCs/>
      <w:sz w:val="20"/>
      <w:szCs w:val="18"/>
    </w:rPr>
  </w:style>
  <w:style w:type="paragraph" w:styleId="Revizija">
    <w:name w:val="Revision"/>
    <w:hidden/>
    <w:uiPriority w:val="99"/>
    <w:semiHidden/>
    <w:rsid w:val="00301F19"/>
    <w:rPr>
      <w:rFonts w:eastAsiaTheme="minorEastAsia"/>
      <w:sz w:val="22"/>
      <w:szCs w:val="2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756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7560"/>
    <w:rPr>
      <w:rFonts w:asciiTheme="majorHAnsi" w:eastAsiaTheme="majorEastAsia" w:hAnsiTheme="majorHAnsi" w:cstheme="majorBidi"/>
      <w:color w:val="2F5496" w:themeColor="accent1" w:themeShade="BF"/>
      <w:sz w:val="22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7560"/>
    <w:rPr>
      <w:rFonts w:asciiTheme="majorHAnsi" w:eastAsiaTheme="majorEastAsia" w:hAnsiTheme="majorHAnsi" w:cstheme="majorBidi"/>
      <w:color w:val="1F3763" w:themeColor="accent1" w:themeShade="7F"/>
      <w:sz w:val="22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756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75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75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F1369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oor.hr" TargetMode="External"/><Relationship Id="rId2" Type="http://schemas.openxmlformats.org/officeDocument/2006/relationships/hyperlink" Target="tel:%2B385%201%204655%20441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855476738144217"/>
          <c:y val="0.13884950158192422"/>
          <c:w val="0.69455988828861515"/>
          <c:h val="0.81864565232957198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6C5-4B05-BF0A-0CD813DCEB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6C5-4B05-BF0A-0CD813DCEB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6C5-4B05-BF0A-0CD813DCEBB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'[Projekcija ZD_2110.xlsx]BEI_MEI'!$A$8:$A$13</c:f>
              <c:strCache>
                <c:ptCount val="3"/>
                <c:pt idx="0">
                  <c:v>Električna energija</c:v>
                </c:pt>
                <c:pt idx="1">
                  <c:v>Ekstra lako loživo ulje</c:v>
                </c:pt>
                <c:pt idx="2">
                  <c:v>Ukapljeni naftni plin</c:v>
                </c:pt>
              </c:strCache>
              <c:extLst xmlns:c16r2="http://schemas.microsoft.com/office/drawing/2015/06/chart"/>
            </c:strRef>
          </c:cat>
          <c:val>
            <c:numRef>
              <c:f>'[Projekcija ZD_2110.xlsx]BEI_MEI'!$I$8:$I$13</c:f>
              <c:numCache>
                <c:formatCode>0</c:formatCode>
                <c:ptCount val="3"/>
                <c:pt idx="0">
                  <c:v>100275.65507199999</c:v>
                </c:pt>
                <c:pt idx="1">
                  <c:v>41382.298227000007</c:v>
                </c:pt>
                <c:pt idx="2">
                  <c:v>938.15150200000005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6C5-4B05-BF0A-0CD813DCEBB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6"/>
          <c:order val="0"/>
          <c:tx>
            <c:strRef>
              <c:f>ZGRADARSTVO!$K$26</c:f>
              <c:strCache>
                <c:ptCount val="1"/>
                <c:pt idx="0">
                  <c:v>UKUPNO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11-4106-AB88-B3CDC2772D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11-4106-AB88-B3CDC2772D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11-4106-AB88-B3CDC2772D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11-4106-AB88-B3CDC2772D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B11-4106-AB88-B3CDC2772D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B11-4106-AB88-B3CDC2772D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B11-4106-AB88-B3CDC2772D51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B11-4106-AB88-B3CDC2772D5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1896377082143913E-2"/>
                  <c:y val="3.898665374268808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B11-4106-AB88-B3CDC2772D5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B11-4106-AB88-B3CDC2772D5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783625730994149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B11-4106-AB88-B3CDC2772D5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B11-4106-AB88-B3CDC2772D51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ZGRADARSTVO!$L$19:$S$19</c:f>
              <c:strCache>
                <c:ptCount val="7"/>
                <c:pt idx="0">
                  <c:v>Električna energija</c:v>
                </c:pt>
                <c:pt idx="1">
                  <c:v>Potrošnja ogrjevne topline</c:v>
                </c:pt>
                <c:pt idx="2">
                  <c:v>Prirodni plin</c:v>
                </c:pt>
                <c:pt idx="3">
                  <c:v>Ekstra lako loživo ulje</c:v>
                </c:pt>
                <c:pt idx="4">
                  <c:v>Ogrjevno drvo</c:v>
                </c:pt>
                <c:pt idx="5">
                  <c:v>Ukapljeni naftni plin</c:v>
                </c:pt>
                <c:pt idx="6">
                  <c:v>Solarni paneli</c:v>
                </c:pt>
              </c:strCache>
              <c:extLst xmlns:c16r2="http://schemas.microsoft.com/office/drawing/2015/06/chart"/>
            </c:strRef>
          </c:cat>
          <c:val>
            <c:numRef>
              <c:f>ZGRADARSTVO!$L$26:$S$26</c:f>
              <c:numCache>
                <c:formatCode>#,##0.00</c:formatCode>
                <c:ptCount val="7"/>
                <c:pt idx="0">
                  <c:v>95531</c:v>
                </c:pt>
                <c:pt idx="1">
                  <c:v>0</c:v>
                </c:pt>
                <c:pt idx="2">
                  <c:v>4030</c:v>
                </c:pt>
                <c:pt idx="3">
                  <c:v>14066</c:v>
                </c:pt>
                <c:pt idx="4">
                  <c:v>0</c:v>
                </c:pt>
                <c:pt idx="5">
                  <c:v>2442</c:v>
                </c:pt>
                <c:pt idx="6">
                  <c:v>0</c:v>
                </c:pt>
              </c:numCache>
              <c:extLst xmlns:c16r2="http://schemas.microsoft.com/office/drawing/2015/06/chart"/>
            </c:numRef>
          </c:val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6-6630-4BC7-98A6-76F7AA18E05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A43693EE5AA48B11CA5119DF1629D" ma:contentTypeVersion="12" ma:contentTypeDescription="Stvaranje novog dokumenta." ma:contentTypeScope="" ma:versionID="b15435f0824c07e8e2be2ee225fc2075">
  <xsd:schema xmlns:xsd="http://www.w3.org/2001/XMLSchema" xmlns:xs="http://www.w3.org/2001/XMLSchema" xmlns:p="http://schemas.microsoft.com/office/2006/metadata/properties" xmlns:ns2="8f910826-68b2-4150-832f-7d56e7c93a45" xmlns:ns3="934bef0b-67c1-4ec7-ae65-d874cef855d2" targetNamespace="http://schemas.microsoft.com/office/2006/metadata/properties" ma:root="true" ma:fieldsID="888a49a0a4b5e7614f476b3173ed5a76" ns2:_="" ns3:_="">
    <xsd:import namespace="8f910826-68b2-4150-832f-7d56e7c93a45"/>
    <xsd:import namespace="934bef0b-67c1-4ec7-ae65-d874cef8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10826-68b2-4150-832f-7d56e7c93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bef0b-67c1-4ec7-ae65-d874cef8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95CE-22AF-452B-8578-79A1FE86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372F2-F7D5-40DE-B544-B25E52442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5D35B6-CB7B-42F6-97D9-805F9D97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10826-68b2-4150-832f-7d56e7c93a45"/>
    <ds:schemaRef ds:uri="934bef0b-67c1-4ec7-ae65-d874cef8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9D254-BCF2-47E4-95E5-1436411F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2984</Words>
  <Characters>17010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Pongrac</dc:creator>
  <cp:keywords/>
  <dc:description/>
  <cp:lastModifiedBy>Ana Bajlo</cp:lastModifiedBy>
  <cp:revision>3</cp:revision>
  <cp:lastPrinted>2020-10-19T11:19:00Z</cp:lastPrinted>
  <dcterms:created xsi:type="dcterms:W3CDTF">2021-03-01T14:43:00Z</dcterms:created>
  <dcterms:modified xsi:type="dcterms:W3CDTF">2021-03-01T14:43:00Z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0x010100F5BA43693EE5AA48B11CA5119DF1629D</vt:lpwstr>
  </property>
  <property fmtid="{D5CDD505-2E9C-101B-9397-08002B2CF9AE}" pid="3" name="Order">
    <vt:r8>7349200</vt:r8>
  </property>
</Properties>
</file>